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51" w:rsidRDefault="00575E51" w:rsidP="00575E51">
      <w:pPr>
        <w:pStyle w:val="Heading1"/>
        <w:spacing w:before="176" w:line="520" w:lineRule="exact"/>
        <w:ind w:left="107" w:right="1401"/>
      </w:pPr>
      <w:r>
        <w:rPr>
          <w:color w:val="00928F"/>
          <w:w w:val="115"/>
        </w:rPr>
        <w:t>Cost benefit analysis for small-scale aquaponic units</w:t>
      </w:r>
    </w:p>
    <w:p w:rsidR="00575E51" w:rsidRDefault="00575E51" w:rsidP="00575E51">
      <w:pPr>
        <w:pStyle w:val="BodyText"/>
        <w:rPr>
          <w:rFonts w:ascii="Calibri"/>
          <w:b/>
          <w:sz w:val="46"/>
        </w:rPr>
      </w:pPr>
    </w:p>
    <w:p w:rsidR="00575E51" w:rsidRDefault="00575E51" w:rsidP="00575E51">
      <w:pPr>
        <w:pStyle w:val="BodyText"/>
        <w:spacing w:before="7"/>
        <w:rPr>
          <w:rFonts w:ascii="Calibri"/>
          <w:b/>
          <w:sz w:val="35"/>
        </w:rPr>
      </w:pPr>
    </w:p>
    <w:p w:rsidR="00575E51" w:rsidRDefault="00575E51" w:rsidP="00575E51">
      <w:pPr>
        <w:pStyle w:val="BodyText"/>
        <w:spacing w:before="1" w:line="254" w:lineRule="auto"/>
        <w:ind w:left="107" w:right="1184"/>
        <w:jc w:val="both"/>
      </w:pPr>
      <w:r>
        <w:rPr>
          <w:spacing w:val="-4"/>
        </w:rPr>
        <w:t xml:space="preserve">Tables </w:t>
      </w:r>
      <w:r>
        <w:t xml:space="preserve">A7.1–A7.4 describe the costs and benefits of  a  small-scale  aquaponic  unit. The information in the tables is meant to provide the reader an understanding of      the expenses necessary to build and run an aquaponic unit, as well as the expected production and incomes in the first </w:t>
      </w:r>
      <w:r>
        <w:rPr>
          <w:spacing w:val="-4"/>
        </w:rPr>
        <w:t xml:space="preserve">year. Table </w:t>
      </w:r>
      <w:r>
        <w:t xml:space="preserve">A7.1 summarizes the total cost of materials for the initial installation (capital investment) for a small-scale media bed unit (the full list of materials and costs for this unit can be found in Appendix 8 of this publication). </w:t>
      </w:r>
      <w:r>
        <w:rPr>
          <w:spacing w:val="-4"/>
        </w:rPr>
        <w:t xml:space="preserve">Table  </w:t>
      </w:r>
      <w:r>
        <w:t xml:space="preserve">A7.2 details all the yearly running costs involved. The details of  the running cost calculations can be found in the notes section of the table. </w:t>
      </w:r>
      <w:r>
        <w:rPr>
          <w:spacing w:val="-4"/>
        </w:rPr>
        <w:t xml:space="preserve">Table </w:t>
      </w:r>
      <w:r>
        <w:t xml:space="preserve">A7.3 details the expected production of vegetables and fish in one </w:t>
      </w:r>
      <w:r>
        <w:rPr>
          <w:spacing w:val="-4"/>
        </w:rPr>
        <w:t xml:space="preserve">year. Table </w:t>
      </w:r>
      <w:r>
        <w:t xml:space="preserve">A7.4 brings together the costs and revenues from </w:t>
      </w:r>
      <w:r>
        <w:rPr>
          <w:spacing w:val="-4"/>
        </w:rPr>
        <w:t xml:space="preserve">Tables </w:t>
      </w:r>
      <w:r>
        <w:t>A7.1–A7.3 and shows the total profit on the initial investment and the payback</w:t>
      </w:r>
      <w:r>
        <w:rPr>
          <w:spacing w:val="-1"/>
        </w:rPr>
        <w:t xml:space="preserve"> </w:t>
      </w:r>
      <w:r>
        <w:t>period.</w:t>
      </w:r>
    </w:p>
    <w:p w:rsidR="00575E51" w:rsidRDefault="00575E51" w:rsidP="00575E51">
      <w:pPr>
        <w:pStyle w:val="BodyText"/>
        <w:spacing w:line="254" w:lineRule="auto"/>
        <w:ind w:left="107" w:right="1185" w:firstLine="259"/>
        <w:jc w:val="both"/>
      </w:pPr>
      <w:r>
        <w:t>It</w:t>
      </w:r>
      <w:r>
        <w:rPr>
          <w:spacing w:val="-7"/>
        </w:rPr>
        <w:t xml:space="preserve"> </w:t>
      </w:r>
      <w:r>
        <w:t>should</w:t>
      </w:r>
      <w:r>
        <w:rPr>
          <w:spacing w:val="-7"/>
        </w:rPr>
        <w:t xml:space="preserve"> </w:t>
      </w:r>
      <w:r>
        <w:t>be</w:t>
      </w:r>
      <w:r>
        <w:rPr>
          <w:spacing w:val="-7"/>
        </w:rPr>
        <w:t xml:space="preserve"> </w:t>
      </w:r>
      <w:r>
        <w:t>noted</w:t>
      </w:r>
      <w:r>
        <w:rPr>
          <w:spacing w:val="-7"/>
        </w:rPr>
        <w:t xml:space="preserve"> </w:t>
      </w:r>
      <w:r>
        <w:t>that</w:t>
      </w:r>
      <w:r>
        <w:rPr>
          <w:spacing w:val="-7"/>
        </w:rPr>
        <w:t xml:space="preserve"> </w:t>
      </w:r>
      <w:r>
        <w:t>the</w:t>
      </w:r>
      <w:r>
        <w:rPr>
          <w:spacing w:val="-7"/>
        </w:rPr>
        <w:t xml:space="preserve"> </w:t>
      </w:r>
      <w:r>
        <w:t>figures</w:t>
      </w:r>
      <w:r>
        <w:rPr>
          <w:spacing w:val="-7"/>
        </w:rPr>
        <w:t xml:space="preserve"> </w:t>
      </w:r>
      <w:r>
        <w:t>given</w:t>
      </w:r>
      <w:r>
        <w:rPr>
          <w:spacing w:val="-7"/>
        </w:rPr>
        <w:t xml:space="preserve"> </w:t>
      </w:r>
      <w:r>
        <w:t>in</w:t>
      </w:r>
      <w:r>
        <w:rPr>
          <w:spacing w:val="-7"/>
        </w:rPr>
        <w:t xml:space="preserve"> </w:t>
      </w:r>
      <w:r>
        <w:t>the</w:t>
      </w:r>
      <w:r>
        <w:rPr>
          <w:spacing w:val="-7"/>
        </w:rPr>
        <w:t xml:space="preserve"> </w:t>
      </w:r>
      <w:r>
        <w:t>tables</w:t>
      </w:r>
      <w:r>
        <w:rPr>
          <w:spacing w:val="-7"/>
        </w:rPr>
        <w:t xml:space="preserve"> </w:t>
      </w:r>
      <w:r>
        <w:t>are</w:t>
      </w:r>
      <w:r>
        <w:rPr>
          <w:spacing w:val="-7"/>
        </w:rPr>
        <w:t xml:space="preserve"> </w:t>
      </w:r>
      <w:r>
        <w:t>only</w:t>
      </w:r>
      <w:r>
        <w:rPr>
          <w:spacing w:val="-7"/>
        </w:rPr>
        <w:t xml:space="preserve"> </w:t>
      </w:r>
      <w:r>
        <w:t>intended</w:t>
      </w:r>
      <w:r>
        <w:rPr>
          <w:spacing w:val="-7"/>
        </w:rPr>
        <w:t xml:space="preserve"> </w:t>
      </w:r>
      <w:r>
        <w:t>as</w:t>
      </w:r>
      <w:r>
        <w:rPr>
          <w:spacing w:val="-7"/>
        </w:rPr>
        <w:t xml:space="preserve"> </w:t>
      </w:r>
      <w:r>
        <w:t>guidelines for new users. It is difficult to provide accurate figures, particularly regarding production yields and their values, as many production and financial factors may influence them: temperatures, seasons, fish type, fish feed quality and percentage protein, markets prices,</w:t>
      </w:r>
      <w:r>
        <w:rPr>
          <w:spacing w:val="-8"/>
        </w:rPr>
        <w:t xml:space="preserve"> </w:t>
      </w:r>
      <w:r>
        <w:t>etc.</w:t>
      </w:r>
    </w:p>
    <w:p w:rsidR="00575E51" w:rsidRDefault="00575E51" w:rsidP="00575E51">
      <w:pPr>
        <w:pStyle w:val="BodyText"/>
        <w:rPr>
          <w:sz w:val="22"/>
        </w:rPr>
      </w:pPr>
    </w:p>
    <w:p w:rsidR="00575E51" w:rsidRDefault="00575E51" w:rsidP="00575E51">
      <w:pPr>
        <w:pStyle w:val="Heading2"/>
        <w:ind w:left="107" w:firstLine="0"/>
      </w:pPr>
      <w:r>
        <w:rPr>
          <w:color w:val="00928F"/>
          <w:w w:val="110"/>
        </w:rPr>
        <w:t>CALCULATION  ASSUMPTIONS</w:t>
      </w:r>
    </w:p>
    <w:p w:rsidR="00575E51" w:rsidRDefault="00575E51" w:rsidP="00575E51">
      <w:pPr>
        <w:pStyle w:val="ListParagraph"/>
        <w:numPr>
          <w:ilvl w:val="0"/>
          <w:numId w:val="1"/>
        </w:numPr>
        <w:tabs>
          <w:tab w:val="left" w:pos="548"/>
        </w:tabs>
        <w:spacing w:before="4" w:line="252" w:lineRule="auto"/>
        <w:ind w:right="1185"/>
        <w:jc w:val="both"/>
        <w:rPr>
          <w:sz w:val="21"/>
        </w:rPr>
      </w:pPr>
      <w:r>
        <w:rPr>
          <w:sz w:val="21"/>
        </w:rPr>
        <w:t>All calculations are based on a small-scale media bed unit (described throughout the main text of this publication) with 3 m</w:t>
      </w:r>
      <w:r>
        <w:rPr>
          <w:position w:val="8"/>
          <w:sz w:val="13"/>
        </w:rPr>
        <w:t xml:space="preserve">2 </w:t>
      </w:r>
      <w:r>
        <w:rPr>
          <w:sz w:val="21"/>
        </w:rPr>
        <w:t xml:space="preserve">of growing space and 1 000 litres of fish tank space (as shown in Appendix 8 of this </w:t>
      </w:r>
      <w:r>
        <w:rPr>
          <w:spacing w:val="17"/>
          <w:sz w:val="21"/>
        </w:rPr>
        <w:t xml:space="preserve"> </w:t>
      </w:r>
      <w:r>
        <w:rPr>
          <w:sz w:val="21"/>
        </w:rPr>
        <w:t>publication).</w:t>
      </w:r>
    </w:p>
    <w:p w:rsidR="00575E51" w:rsidRDefault="00575E51" w:rsidP="00575E51">
      <w:pPr>
        <w:pStyle w:val="ListParagraph"/>
        <w:numPr>
          <w:ilvl w:val="0"/>
          <w:numId w:val="1"/>
        </w:numPr>
        <w:tabs>
          <w:tab w:val="left" w:pos="548"/>
        </w:tabs>
        <w:spacing w:before="1" w:line="254" w:lineRule="auto"/>
        <w:ind w:right="1185"/>
        <w:jc w:val="both"/>
        <w:rPr>
          <w:sz w:val="21"/>
        </w:rPr>
      </w:pPr>
      <w:r>
        <w:rPr>
          <w:sz w:val="21"/>
        </w:rPr>
        <w:t>The unit is meant for domestic food consumption only and not for small-scale income-generating</w:t>
      </w:r>
      <w:r>
        <w:rPr>
          <w:spacing w:val="-10"/>
          <w:sz w:val="21"/>
        </w:rPr>
        <w:t xml:space="preserve"> </w:t>
      </w:r>
      <w:r>
        <w:rPr>
          <w:sz w:val="21"/>
        </w:rPr>
        <w:t>production.</w:t>
      </w:r>
      <w:r>
        <w:rPr>
          <w:spacing w:val="-10"/>
          <w:sz w:val="21"/>
        </w:rPr>
        <w:t xml:space="preserve"> </w:t>
      </w:r>
      <w:r>
        <w:rPr>
          <w:sz w:val="21"/>
        </w:rPr>
        <w:t>The</w:t>
      </w:r>
      <w:r>
        <w:rPr>
          <w:spacing w:val="-10"/>
          <w:sz w:val="21"/>
        </w:rPr>
        <w:t xml:space="preserve"> </w:t>
      </w:r>
      <w:r>
        <w:rPr>
          <w:sz w:val="21"/>
        </w:rPr>
        <w:t>financial</w:t>
      </w:r>
      <w:r>
        <w:rPr>
          <w:spacing w:val="-10"/>
          <w:sz w:val="21"/>
        </w:rPr>
        <w:t xml:space="preserve"> </w:t>
      </w:r>
      <w:r>
        <w:rPr>
          <w:sz w:val="21"/>
        </w:rPr>
        <w:t>benefits</w:t>
      </w:r>
      <w:r>
        <w:rPr>
          <w:spacing w:val="-10"/>
          <w:sz w:val="21"/>
        </w:rPr>
        <w:t xml:space="preserve"> </w:t>
      </w:r>
      <w:r>
        <w:rPr>
          <w:sz w:val="21"/>
        </w:rPr>
        <w:t>can</w:t>
      </w:r>
      <w:r>
        <w:rPr>
          <w:spacing w:val="-10"/>
          <w:sz w:val="21"/>
        </w:rPr>
        <w:t xml:space="preserve"> </w:t>
      </w:r>
      <w:r>
        <w:rPr>
          <w:sz w:val="21"/>
        </w:rPr>
        <w:t>vary</w:t>
      </w:r>
      <w:r>
        <w:rPr>
          <w:spacing w:val="-10"/>
          <w:sz w:val="21"/>
        </w:rPr>
        <w:t xml:space="preserve"> </w:t>
      </w:r>
      <w:r>
        <w:rPr>
          <w:sz w:val="21"/>
        </w:rPr>
        <w:t>and</w:t>
      </w:r>
      <w:r>
        <w:rPr>
          <w:spacing w:val="-10"/>
          <w:sz w:val="21"/>
        </w:rPr>
        <w:t xml:space="preserve"> </w:t>
      </w:r>
      <w:r>
        <w:rPr>
          <w:sz w:val="21"/>
        </w:rPr>
        <w:t>might</w:t>
      </w:r>
      <w:r>
        <w:rPr>
          <w:spacing w:val="-10"/>
          <w:sz w:val="21"/>
        </w:rPr>
        <w:t xml:space="preserve"> </w:t>
      </w:r>
      <w:r>
        <w:rPr>
          <w:sz w:val="21"/>
        </w:rPr>
        <w:t>be</w:t>
      </w:r>
      <w:r>
        <w:rPr>
          <w:spacing w:val="-10"/>
          <w:sz w:val="21"/>
        </w:rPr>
        <w:t xml:space="preserve"> </w:t>
      </w:r>
      <w:r>
        <w:rPr>
          <w:sz w:val="21"/>
        </w:rPr>
        <w:t xml:space="preserve">larger than the figures shown in </w:t>
      </w:r>
      <w:r>
        <w:rPr>
          <w:spacing w:val="-4"/>
          <w:sz w:val="21"/>
        </w:rPr>
        <w:t xml:space="preserve">Table </w:t>
      </w:r>
      <w:r>
        <w:rPr>
          <w:sz w:val="21"/>
        </w:rPr>
        <w:t xml:space="preserve">A7.4 if farmers select more profitable crops to </w:t>
      </w:r>
      <w:r>
        <w:rPr>
          <w:spacing w:val="-4"/>
          <w:sz w:val="21"/>
        </w:rPr>
        <w:t xml:space="preserve">grow. </w:t>
      </w:r>
      <w:r>
        <w:rPr>
          <w:sz w:val="21"/>
        </w:rPr>
        <w:t>As the focus is on small-scale aquaponics for domestic food consumption, two crops have been considered in the calculations as these better reflect the production patterns of users growing food for consumption only: one leafy green (lettuce)</w:t>
      </w:r>
      <w:r>
        <w:rPr>
          <w:spacing w:val="-9"/>
          <w:sz w:val="21"/>
        </w:rPr>
        <w:t xml:space="preserve"> </w:t>
      </w:r>
      <w:r>
        <w:rPr>
          <w:sz w:val="21"/>
        </w:rPr>
        <w:t>and</w:t>
      </w:r>
      <w:r>
        <w:rPr>
          <w:spacing w:val="-9"/>
          <w:sz w:val="21"/>
        </w:rPr>
        <w:t xml:space="preserve"> </w:t>
      </w:r>
      <w:r>
        <w:rPr>
          <w:sz w:val="21"/>
        </w:rPr>
        <w:t>one</w:t>
      </w:r>
      <w:r>
        <w:rPr>
          <w:spacing w:val="-9"/>
          <w:sz w:val="21"/>
        </w:rPr>
        <w:t xml:space="preserve"> </w:t>
      </w:r>
      <w:r>
        <w:rPr>
          <w:sz w:val="21"/>
        </w:rPr>
        <w:t>fruiting</w:t>
      </w:r>
      <w:r>
        <w:rPr>
          <w:spacing w:val="-9"/>
          <w:sz w:val="21"/>
        </w:rPr>
        <w:t xml:space="preserve"> </w:t>
      </w:r>
      <w:r>
        <w:rPr>
          <w:sz w:val="21"/>
        </w:rPr>
        <w:t>vegetable</w:t>
      </w:r>
      <w:r>
        <w:rPr>
          <w:spacing w:val="-9"/>
          <w:sz w:val="21"/>
        </w:rPr>
        <w:t xml:space="preserve"> </w:t>
      </w:r>
      <w:r>
        <w:rPr>
          <w:sz w:val="21"/>
        </w:rPr>
        <w:t>(tomato).</w:t>
      </w:r>
    </w:p>
    <w:p w:rsidR="00575E51" w:rsidRDefault="00575E51" w:rsidP="00575E51">
      <w:pPr>
        <w:pStyle w:val="ListParagraph"/>
        <w:numPr>
          <w:ilvl w:val="0"/>
          <w:numId w:val="1"/>
        </w:numPr>
        <w:tabs>
          <w:tab w:val="left" w:pos="548"/>
        </w:tabs>
        <w:spacing w:line="254" w:lineRule="auto"/>
        <w:ind w:right="1185"/>
        <w:jc w:val="both"/>
        <w:rPr>
          <w:sz w:val="21"/>
        </w:rPr>
      </w:pPr>
      <w:r>
        <w:rPr>
          <w:spacing w:val="-2"/>
          <w:w w:val="132"/>
          <w:sz w:val="21"/>
        </w:rPr>
        <w:t>:ield</w:t>
      </w:r>
      <w:r>
        <w:rPr>
          <w:w w:val="132"/>
          <w:sz w:val="21"/>
        </w:rPr>
        <w:t xml:space="preserve"> </w:t>
      </w:r>
      <w:r>
        <w:rPr>
          <w:w w:val="95"/>
          <w:sz w:val="21"/>
        </w:rPr>
        <w:t xml:space="preserve">data </w:t>
      </w:r>
      <w:r>
        <w:rPr>
          <w:w w:val="91"/>
          <w:sz w:val="21"/>
        </w:rPr>
        <w:t xml:space="preserve">are </w:t>
      </w:r>
      <w:r>
        <w:rPr>
          <w:w w:val="98"/>
          <w:sz w:val="21"/>
        </w:rPr>
        <w:t xml:space="preserve">obtained </w:t>
      </w:r>
      <w:r>
        <w:rPr>
          <w:w w:val="101"/>
          <w:sz w:val="21"/>
        </w:rPr>
        <w:t xml:space="preserve">from </w:t>
      </w:r>
      <w:r>
        <w:rPr>
          <w:w w:val="90"/>
          <w:sz w:val="21"/>
        </w:rPr>
        <w:t xml:space="preserve">a </w:t>
      </w:r>
      <w:r>
        <w:rPr>
          <w:sz w:val="21"/>
        </w:rPr>
        <w:t xml:space="preserve">continuous production </w:t>
      </w:r>
      <w:r>
        <w:rPr>
          <w:w w:val="106"/>
          <w:sz w:val="21"/>
        </w:rPr>
        <w:t xml:space="preserve">of </w:t>
      </w:r>
      <w:r>
        <w:rPr>
          <w:w w:val="90"/>
          <w:sz w:val="21"/>
        </w:rPr>
        <w:t xml:space="preserve">12 </w:t>
      </w:r>
      <w:r>
        <w:rPr>
          <w:sz w:val="21"/>
        </w:rPr>
        <w:t xml:space="preserve">months, </w:t>
      </w:r>
      <w:r>
        <w:rPr>
          <w:w w:val="98"/>
          <w:sz w:val="21"/>
        </w:rPr>
        <w:t xml:space="preserve">feeding </w:t>
      </w:r>
      <w:r>
        <w:rPr>
          <w:w w:val="96"/>
          <w:sz w:val="21"/>
        </w:rPr>
        <w:t xml:space="preserve">the </w:t>
      </w:r>
      <w:r>
        <w:rPr>
          <w:sz w:val="21"/>
        </w:rPr>
        <w:t>fish</w:t>
      </w:r>
      <w:r>
        <w:rPr>
          <w:spacing w:val="-3"/>
          <w:sz w:val="21"/>
        </w:rPr>
        <w:t xml:space="preserve"> </w:t>
      </w:r>
      <w:r>
        <w:rPr>
          <w:sz w:val="21"/>
        </w:rPr>
        <w:t>with</w:t>
      </w:r>
      <w:r>
        <w:rPr>
          <w:spacing w:val="-3"/>
          <w:sz w:val="21"/>
        </w:rPr>
        <w:t xml:space="preserve"> </w:t>
      </w:r>
      <w:r>
        <w:rPr>
          <w:sz w:val="21"/>
        </w:rPr>
        <w:t>good-quality</w:t>
      </w:r>
      <w:r>
        <w:rPr>
          <w:spacing w:val="-3"/>
          <w:sz w:val="21"/>
        </w:rPr>
        <w:t xml:space="preserve"> </w:t>
      </w:r>
      <w:r>
        <w:rPr>
          <w:sz w:val="21"/>
        </w:rPr>
        <w:t>32</w:t>
      </w:r>
      <w:r>
        <w:rPr>
          <w:spacing w:val="-3"/>
          <w:sz w:val="21"/>
        </w:rPr>
        <w:t xml:space="preserve"> </w:t>
      </w:r>
      <w:r>
        <w:rPr>
          <w:sz w:val="21"/>
        </w:rPr>
        <w:t>percent</w:t>
      </w:r>
      <w:r>
        <w:rPr>
          <w:spacing w:val="-3"/>
          <w:sz w:val="21"/>
        </w:rPr>
        <w:t xml:space="preserve"> </w:t>
      </w:r>
      <w:r>
        <w:rPr>
          <w:sz w:val="21"/>
        </w:rPr>
        <w:t>protein</w:t>
      </w:r>
      <w:r>
        <w:rPr>
          <w:spacing w:val="-3"/>
          <w:sz w:val="21"/>
        </w:rPr>
        <w:t xml:space="preserve"> </w:t>
      </w:r>
      <w:r>
        <w:rPr>
          <w:sz w:val="21"/>
        </w:rPr>
        <w:t>feed</w:t>
      </w:r>
      <w:r>
        <w:rPr>
          <w:spacing w:val="-3"/>
          <w:sz w:val="21"/>
        </w:rPr>
        <w:t xml:space="preserve"> </w:t>
      </w:r>
      <w:r>
        <w:rPr>
          <w:sz w:val="21"/>
        </w:rPr>
        <w:t>daily</w:t>
      </w:r>
      <w:r>
        <w:rPr>
          <w:spacing w:val="-3"/>
          <w:sz w:val="21"/>
        </w:rPr>
        <w:t xml:space="preserve"> </w:t>
      </w:r>
      <w:r>
        <w:rPr>
          <w:sz w:val="21"/>
        </w:rPr>
        <w:t>in</w:t>
      </w:r>
      <w:r>
        <w:rPr>
          <w:spacing w:val="-3"/>
          <w:sz w:val="21"/>
        </w:rPr>
        <w:t xml:space="preserve"> </w:t>
      </w:r>
      <w:r>
        <w:rPr>
          <w:sz w:val="21"/>
        </w:rPr>
        <w:t>unit</w:t>
      </w:r>
      <w:r>
        <w:rPr>
          <w:spacing w:val="-3"/>
          <w:sz w:val="21"/>
        </w:rPr>
        <w:t xml:space="preserve"> </w:t>
      </w:r>
      <w:r>
        <w:rPr>
          <w:sz w:val="21"/>
        </w:rPr>
        <w:t>water</w:t>
      </w:r>
      <w:r>
        <w:rPr>
          <w:spacing w:val="-3"/>
          <w:sz w:val="21"/>
        </w:rPr>
        <w:t xml:space="preserve"> </w:t>
      </w:r>
      <w:r>
        <w:rPr>
          <w:sz w:val="21"/>
        </w:rPr>
        <w:t>temperatures</w:t>
      </w:r>
      <w:r>
        <w:rPr>
          <w:spacing w:val="-3"/>
          <w:sz w:val="21"/>
        </w:rPr>
        <w:t xml:space="preserve"> </w:t>
      </w:r>
      <w:r>
        <w:rPr>
          <w:sz w:val="21"/>
        </w:rPr>
        <w:t xml:space="preserve">of 23–26 </w:t>
      </w:r>
      <w:r>
        <w:rPr>
          <w:w w:val="110"/>
          <w:sz w:val="21"/>
        </w:rPr>
        <w:t xml:space="preserve">°C </w:t>
      </w:r>
      <w:r>
        <w:rPr>
          <w:sz w:val="21"/>
        </w:rPr>
        <w:t>throughout the</w:t>
      </w:r>
      <w:r>
        <w:rPr>
          <w:spacing w:val="24"/>
          <w:sz w:val="21"/>
        </w:rPr>
        <w:t xml:space="preserve"> </w:t>
      </w:r>
      <w:r>
        <w:rPr>
          <w:spacing w:val="-4"/>
          <w:sz w:val="21"/>
        </w:rPr>
        <w:t>year.</w:t>
      </w:r>
    </w:p>
    <w:p w:rsidR="00575E51" w:rsidRDefault="00575E51" w:rsidP="00575E51">
      <w:pPr>
        <w:pStyle w:val="ListParagraph"/>
        <w:numPr>
          <w:ilvl w:val="0"/>
          <w:numId w:val="1"/>
        </w:numPr>
        <w:tabs>
          <w:tab w:val="left" w:pos="548"/>
        </w:tabs>
        <w:spacing w:line="245" w:lineRule="exact"/>
        <w:rPr>
          <w:sz w:val="21"/>
        </w:rPr>
      </w:pPr>
      <w:r>
        <w:rPr>
          <w:sz w:val="21"/>
        </w:rPr>
        <w:t>The units have a constant standing fish biomass of 10–20</w:t>
      </w:r>
      <w:r>
        <w:rPr>
          <w:spacing w:val="10"/>
          <w:sz w:val="21"/>
        </w:rPr>
        <w:t xml:space="preserve"> </w:t>
      </w:r>
      <w:r>
        <w:rPr>
          <w:sz w:val="21"/>
        </w:rPr>
        <w:t>kg.</w:t>
      </w:r>
    </w:p>
    <w:p w:rsidR="00575E51" w:rsidRDefault="00575E51" w:rsidP="00575E51">
      <w:pPr>
        <w:pStyle w:val="ListParagraph"/>
        <w:numPr>
          <w:ilvl w:val="0"/>
          <w:numId w:val="1"/>
        </w:numPr>
        <w:tabs>
          <w:tab w:val="left" w:pos="548"/>
        </w:tabs>
        <w:spacing w:before="13" w:line="252" w:lineRule="auto"/>
        <w:ind w:right="1184"/>
        <w:jc w:val="both"/>
        <w:rPr>
          <w:sz w:val="21"/>
        </w:rPr>
      </w:pPr>
      <w:r>
        <w:rPr>
          <w:sz w:val="21"/>
        </w:rPr>
        <w:t>The fish cultured are tilapias. They are fed on a feeding ratio of 50 g per square metre of growing space, equivalent to a total feed consumption of 150 g per day (50 g × 3 m</w:t>
      </w:r>
      <w:r>
        <w:rPr>
          <w:position w:val="8"/>
          <w:sz w:val="13"/>
        </w:rPr>
        <w:t>2</w:t>
      </w:r>
      <w:r>
        <w:rPr>
          <w:sz w:val="21"/>
        </w:rPr>
        <w:t>). The stocking weight of juvenile fish is 50 g; the expected harvest weight is 500 g per fish in 6–8</w:t>
      </w:r>
      <w:r>
        <w:rPr>
          <w:spacing w:val="6"/>
          <w:sz w:val="21"/>
        </w:rPr>
        <w:t xml:space="preserve"> </w:t>
      </w:r>
      <w:r>
        <w:rPr>
          <w:sz w:val="21"/>
        </w:rPr>
        <w:t>months.</w:t>
      </w:r>
    </w:p>
    <w:p w:rsidR="00575E51" w:rsidRDefault="00575E51" w:rsidP="00575E51">
      <w:pPr>
        <w:pStyle w:val="ListParagraph"/>
        <w:numPr>
          <w:ilvl w:val="0"/>
          <w:numId w:val="1"/>
        </w:numPr>
        <w:tabs>
          <w:tab w:val="left" w:pos="548"/>
        </w:tabs>
        <w:spacing w:before="1" w:line="254" w:lineRule="auto"/>
        <w:ind w:right="1186"/>
        <w:jc w:val="both"/>
        <w:rPr>
          <w:sz w:val="21"/>
        </w:rPr>
      </w:pPr>
      <w:r>
        <w:rPr>
          <w:sz w:val="21"/>
        </w:rPr>
        <w:t>The</w:t>
      </w:r>
      <w:r>
        <w:rPr>
          <w:spacing w:val="-3"/>
          <w:sz w:val="21"/>
        </w:rPr>
        <w:t xml:space="preserve"> </w:t>
      </w:r>
      <w:r>
        <w:rPr>
          <w:sz w:val="21"/>
        </w:rPr>
        <w:t>average</w:t>
      </w:r>
      <w:r>
        <w:rPr>
          <w:spacing w:val="-3"/>
          <w:sz w:val="21"/>
        </w:rPr>
        <w:t xml:space="preserve"> </w:t>
      </w:r>
      <w:r>
        <w:rPr>
          <w:sz w:val="21"/>
        </w:rPr>
        <w:t>yields</w:t>
      </w:r>
      <w:r>
        <w:rPr>
          <w:spacing w:val="-3"/>
          <w:sz w:val="21"/>
        </w:rPr>
        <w:t xml:space="preserve"> </w:t>
      </w:r>
      <w:r>
        <w:rPr>
          <w:sz w:val="21"/>
        </w:rPr>
        <w:t>for</w:t>
      </w:r>
      <w:r>
        <w:rPr>
          <w:spacing w:val="-3"/>
          <w:sz w:val="21"/>
        </w:rPr>
        <w:t xml:space="preserve"> </w:t>
      </w:r>
      <w:r>
        <w:rPr>
          <w:sz w:val="21"/>
        </w:rPr>
        <w:t>amateur</w:t>
      </w:r>
      <w:r>
        <w:rPr>
          <w:spacing w:val="-3"/>
          <w:sz w:val="21"/>
        </w:rPr>
        <w:t xml:space="preserve"> </w:t>
      </w:r>
      <w:r>
        <w:rPr>
          <w:sz w:val="21"/>
        </w:rPr>
        <w:t>growers</w:t>
      </w:r>
      <w:r>
        <w:rPr>
          <w:spacing w:val="-3"/>
          <w:sz w:val="21"/>
        </w:rPr>
        <w:t xml:space="preserve"> </w:t>
      </w:r>
      <w:r>
        <w:rPr>
          <w:sz w:val="21"/>
        </w:rPr>
        <w:t>have</w:t>
      </w:r>
      <w:r>
        <w:rPr>
          <w:spacing w:val="-3"/>
          <w:sz w:val="21"/>
        </w:rPr>
        <w:t xml:space="preserve"> </w:t>
      </w:r>
      <w:r>
        <w:rPr>
          <w:sz w:val="21"/>
        </w:rPr>
        <w:t>been</w:t>
      </w:r>
      <w:r>
        <w:rPr>
          <w:spacing w:val="-3"/>
          <w:sz w:val="21"/>
        </w:rPr>
        <w:t xml:space="preserve"> </w:t>
      </w:r>
      <w:r>
        <w:rPr>
          <w:sz w:val="21"/>
        </w:rPr>
        <w:t>considered</w:t>
      </w:r>
      <w:r>
        <w:rPr>
          <w:spacing w:val="-3"/>
          <w:sz w:val="21"/>
        </w:rPr>
        <w:t xml:space="preserve"> </w:t>
      </w:r>
      <w:r>
        <w:rPr>
          <w:sz w:val="21"/>
        </w:rPr>
        <w:t>in</w:t>
      </w:r>
      <w:r>
        <w:rPr>
          <w:spacing w:val="-3"/>
          <w:sz w:val="21"/>
        </w:rPr>
        <w:t xml:space="preserve"> </w:t>
      </w:r>
      <w:r>
        <w:rPr>
          <w:sz w:val="21"/>
        </w:rPr>
        <w:t>the</w:t>
      </w:r>
      <w:r>
        <w:rPr>
          <w:spacing w:val="-3"/>
          <w:sz w:val="21"/>
        </w:rPr>
        <w:t xml:space="preserve"> </w:t>
      </w:r>
      <w:r>
        <w:rPr>
          <w:sz w:val="21"/>
        </w:rPr>
        <w:t>calculations: 20 heads of lettuce per square metre per month, and 3 kg of tomatoes per square metre per</w:t>
      </w:r>
      <w:r>
        <w:rPr>
          <w:spacing w:val="-3"/>
          <w:sz w:val="21"/>
        </w:rPr>
        <w:t xml:space="preserve"> </w:t>
      </w:r>
      <w:r>
        <w:rPr>
          <w:sz w:val="21"/>
        </w:rPr>
        <w:t>month.</w:t>
      </w:r>
    </w:p>
    <w:p w:rsidR="00575E51" w:rsidRDefault="00575E51" w:rsidP="00575E51">
      <w:pPr>
        <w:spacing w:line="254" w:lineRule="auto"/>
        <w:jc w:val="both"/>
        <w:rPr>
          <w:sz w:val="21"/>
        </w:rPr>
        <w:sectPr w:rsidR="00575E51">
          <w:headerReference w:type="even" r:id="rId7"/>
          <w:headerReference w:type="default" r:id="rId8"/>
          <w:pgSz w:w="11910" w:h="16840"/>
          <w:pgMar w:top="1020" w:right="1420" w:bottom="280" w:left="1480" w:header="804" w:footer="0" w:gutter="0"/>
          <w:pgNumType w:start="205"/>
          <w:cols w:space="720"/>
        </w:sectPr>
      </w:pPr>
    </w:p>
    <w:p w:rsidR="00575E51" w:rsidRDefault="00575E51" w:rsidP="00575E51">
      <w:pPr>
        <w:pStyle w:val="BodyText"/>
        <w:rPr>
          <w:sz w:val="20"/>
        </w:rPr>
      </w:pPr>
    </w:p>
    <w:p w:rsidR="00575E51" w:rsidRDefault="00575E51" w:rsidP="00575E51">
      <w:pPr>
        <w:pStyle w:val="BodyText"/>
        <w:rPr>
          <w:sz w:val="20"/>
        </w:rPr>
      </w:pPr>
    </w:p>
    <w:p w:rsidR="00575E51" w:rsidRDefault="00575E51" w:rsidP="00575E51">
      <w:pPr>
        <w:pStyle w:val="BodyText"/>
        <w:spacing w:before="6"/>
        <w:rPr>
          <w:sz w:val="24"/>
        </w:rPr>
      </w:pPr>
    </w:p>
    <w:p w:rsidR="00575E51" w:rsidRDefault="00575E51" w:rsidP="00575E51">
      <w:pPr>
        <w:spacing w:before="74"/>
        <w:ind w:left="1167" w:right="297"/>
        <w:rPr>
          <w:rFonts w:ascii="Calibri"/>
          <w:sz w:val="16"/>
        </w:rPr>
      </w:pPr>
      <w:r>
        <w:rPr>
          <w:rFonts w:ascii="Calibri"/>
          <w:w w:val="115"/>
          <w:sz w:val="16"/>
        </w:rPr>
        <w:t>TABLE A7.1</w:t>
      </w:r>
    </w:p>
    <w:p w:rsidR="00575E51" w:rsidRDefault="00575E51" w:rsidP="00575E51">
      <w:pPr>
        <w:spacing w:before="12"/>
        <w:ind w:left="1167" w:right="297"/>
        <w:rPr>
          <w:rFonts w:ascii="Calibri"/>
          <w:b/>
          <w:sz w:val="17"/>
        </w:rPr>
      </w:pPr>
      <w:r>
        <w:rPr>
          <w:rFonts w:ascii="Calibri"/>
          <w:b/>
          <w:w w:val="110"/>
          <w:sz w:val="17"/>
        </w:rPr>
        <w:t>Total capital costs for a media bed unit (1 000 litre fish tank and 3 m</w:t>
      </w:r>
      <w:r>
        <w:rPr>
          <w:rFonts w:ascii="Calibri"/>
          <w:b/>
          <w:w w:val="110"/>
          <w:position w:val="6"/>
          <w:sz w:val="11"/>
        </w:rPr>
        <w:t xml:space="preserve">2  </w:t>
      </w:r>
      <w:r>
        <w:rPr>
          <w:rFonts w:ascii="Calibri"/>
          <w:b/>
          <w:w w:val="110"/>
          <w:sz w:val="17"/>
        </w:rPr>
        <w:t>growing space)</w:t>
      </w:r>
    </w:p>
    <w:p w:rsidR="00575E51" w:rsidRDefault="00575E51" w:rsidP="00575E51">
      <w:pPr>
        <w:pStyle w:val="BodyText"/>
        <w:spacing w:before="5"/>
        <w:rPr>
          <w:rFonts w:ascii="Calibri"/>
          <w:b/>
          <w:sz w:val="7"/>
        </w:rPr>
      </w:pPr>
    </w:p>
    <w:tbl>
      <w:tblPr>
        <w:tblW w:w="0" w:type="auto"/>
        <w:tblInd w:w="1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12"/>
        <w:gridCol w:w="1489"/>
      </w:tblGrid>
      <w:tr w:rsidR="00575E51" w:rsidTr="00866D14">
        <w:trPr>
          <w:trHeight w:hRule="exact" w:val="424"/>
        </w:trPr>
        <w:tc>
          <w:tcPr>
            <w:tcW w:w="6212" w:type="dxa"/>
            <w:tcBorders>
              <w:left w:val="nil"/>
            </w:tcBorders>
            <w:shd w:val="clear" w:color="auto" w:fill="E3F3F3"/>
          </w:tcPr>
          <w:p w:rsidR="00575E51" w:rsidRDefault="00575E51" w:rsidP="00866D14">
            <w:pPr>
              <w:pStyle w:val="TableParagraph"/>
              <w:spacing w:before="6"/>
              <w:rPr>
                <w:b/>
                <w:sz w:val="10"/>
              </w:rPr>
            </w:pPr>
          </w:p>
          <w:p w:rsidR="00575E51" w:rsidRDefault="00575E51" w:rsidP="00866D14">
            <w:pPr>
              <w:pStyle w:val="TableParagraph"/>
              <w:spacing w:before="0"/>
              <w:ind w:left="96"/>
              <w:rPr>
                <w:b/>
                <w:sz w:val="14"/>
              </w:rPr>
            </w:pPr>
            <w:r>
              <w:rPr>
                <w:b/>
                <w:w w:val="110"/>
                <w:sz w:val="14"/>
              </w:rPr>
              <w:t>Item description</w:t>
            </w:r>
          </w:p>
        </w:tc>
        <w:tc>
          <w:tcPr>
            <w:tcW w:w="1489" w:type="dxa"/>
            <w:tcBorders>
              <w:right w:val="nil"/>
            </w:tcBorders>
            <w:shd w:val="clear" w:color="auto" w:fill="E3F3F3"/>
          </w:tcPr>
          <w:p w:rsidR="00575E51" w:rsidRDefault="00575E51" w:rsidP="00866D14">
            <w:pPr>
              <w:pStyle w:val="TableParagraph"/>
              <w:spacing w:before="54" w:line="160" w:lineRule="exact"/>
              <w:ind w:left="555" w:right="555" w:hanging="1"/>
              <w:jc w:val="center"/>
              <w:rPr>
                <w:b/>
                <w:sz w:val="14"/>
              </w:rPr>
            </w:pPr>
            <w:r>
              <w:rPr>
                <w:b/>
                <w:w w:val="110"/>
                <w:sz w:val="14"/>
              </w:rPr>
              <w:t>Price (USD)</w:t>
            </w:r>
          </w:p>
        </w:tc>
      </w:tr>
      <w:tr w:rsidR="00575E51" w:rsidTr="00866D14">
        <w:trPr>
          <w:trHeight w:hRule="exact" w:val="271"/>
        </w:trPr>
        <w:tc>
          <w:tcPr>
            <w:tcW w:w="6212" w:type="dxa"/>
            <w:tcBorders>
              <w:left w:val="nil"/>
            </w:tcBorders>
          </w:tcPr>
          <w:p w:rsidR="00575E51" w:rsidRDefault="00575E51" w:rsidP="00866D14">
            <w:pPr>
              <w:pStyle w:val="TableParagraph"/>
              <w:ind w:left="96"/>
              <w:rPr>
                <w:sz w:val="15"/>
              </w:rPr>
            </w:pPr>
            <w:r>
              <w:rPr>
                <w:w w:val="115"/>
                <w:sz w:val="15"/>
              </w:rPr>
              <w:t>IBC tanks*</w:t>
            </w:r>
          </w:p>
        </w:tc>
        <w:tc>
          <w:tcPr>
            <w:tcW w:w="1489" w:type="dxa"/>
            <w:tcBorders>
              <w:right w:val="nil"/>
            </w:tcBorders>
          </w:tcPr>
          <w:p w:rsidR="00575E51" w:rsidRDefault="00575E51" w:rsidP="00866D14">
            <w:pPr>
              <w:pStyle w:val="TableParagraph"/>
              <w:ind w:left="609" w:right="586"/>
              <w:jc w:val="center"/>
              <w:rPr>
                <w:sz w:val="15"/>
              </w:rPr>
            </w:pPr>
            <w:r>
              <w:rPr>
                <w:w w:val="110"/>
                <w:sz w:val="15"/>
              </w:rPr>
              <w:t>200</w:t>
            </w:r>
          </w:p>
        </w:tc>
      </w:tr>
      <w:tr w:rsidR="00575E51" w:rsidTr="00866D14">
        <w:trPr>
          <w:trHeight w:hRule="exact" w:val="271"/>
        </w:trPr>
        <w:tc>
          <w:tcPr>
            <w:tcW w:w="6212" w:type="dxa"/>
            <w:tcBorders>
              <w:left w:val="nil"/>
            </w:tcBorders>
          </w:tcPr>
          <w:p w:rsidR="00575E51" w:rsidRDefault="00575E51" w:rsidP="00866D14">
            <w:pPr>
              <w:pStyle w:val="TableParagraph"/>
              <w:ind w:left="96"/>
              <w:rPr>
                <w:sz w:val="15"/>
              </w:rPr>
            </w:pPr>
            <w:r>
              <w:rPr>
                <w:w w:val="115"/>
                <w:sz w:val="15"/>
              </w:rPr>
              <w:t>Electrical equipment: water pump, air pump and connections</w:t>
            </w:r>
          </w:p>
        </w:tc>
        <w:tc>
          <w:tcPr>
            <w:tcW w:w="1489" w:type="dxa"/>
            <w:tcBorders>
              <w:right w:val="nil"/>
            </w:tcBorders>
          </w:tcPr>
          <w:p w:rsidR="00575E51" w:rsidRDefault="00575E51" w:rsidP="00866D14">
            <w:pPr>
              <w:pStyle w:val="TableParagraph"/>
              <w:ind w:left="609" w:right="586"/>
              <w:jc w:val="center"/>
              <w:rPr>
                <w:sz w:val="15"/>
              </w:rPr>
            </w:pPr>
            <w:r>
              <w:rPr>
                <w:w w:val="110"/>
                <w:sz w:val="15"/>
              </w:rPr>
              <w:t>120</w:t>
            </w:r>
          </w:p>
        </w:tc>
      </w:tr>
      <w:tr w:rsidR="00575E51" w:rsidTr="00866D14">
        <w:trPr>
          <w:trHeight w:hRule="exact" w:val="271"/>
        </w:trPr>
        <w:tc>
          <w:tcPr>
            <w:tcW w:w="6212" w:type="dxa"/>
            <w:tcBorders>
              <w:left w:val="nil"/>
            </w:tcBorders>
          </w:tcPr>
          <w:p w:rsidR="00575E51" w:rsidRDefault="00575E51" w:rsidP="00866D14">
            <w:pPr>
              <w:pStyle w:val="TableParagraph"/>
              <w:ind w:left="96"/>
              <w:rPr>
                <w:sz w:val="15"/>
              </w:rPr>
            </w:pPr>
            <w:r>
              <w:rPr>
                <w:w w:val="115"/>
                <w:sz w:val="15"/>
              </w:rPr>
              <w:t>Media bed support: concrete blocks and wood planks</w:t>
            </w:r>
          </w:p>
        </w:tc>
        <w:tc>
          <w:tcPr>
            <w:tcW w:w="1489" w:type="dxa"/>
            <w:tcBorders>
              <w:right w:val="nil"/>
            </w:tcBorders>
          </w:tcPr>
          <w:p w:rsidR="00575E51" w:rsidRDefault="00575E51" w:rsidP="00866D14">
            <w:pPr>
              <w:pStyle w:val="TableParagraph"/>
              <w:ind w:left="609" w:right="503"/>
              <w:jc w:val="center"/>
              <w:rPr>
                <w:sz w:val="15"/>
              </w:rPr>
            </w:pPr>
            <w:r>
              <w:rPr>
                <w:w w:val="110"/>
                <w:sz w:val="15"/>
              </w:rPr>
              <w:t>80</w:t>
            </w:r>
          </w:p>
        </w:tc>
      </w:tr>
      <w:tr w:rsidR="00575E51" w:rsidTr="00866D14">
        <w:trPr>
          <w:trHeight w:hRule="exact" w:val="271"/>
        </w:trPr>
        <w:tc>
          <w:tcPr>
            <w:tcW w:w="6212" w:type="dxa"/>
            <w:tcBorders>
              <w:left w:val="nil"/>
            </w:tcBorders>
          </w:tcPr>
          <w:p w:rsidR="00575E51" w:rsidRDefault="00575E51" w:rsidP="00866D14">
            <w:pPr>
              <w:pStyle w:val="TableParagraph"/>
              <w:ind w:left="96"/>
              <w:rPr>
                <w:sz w:val="15"/>
              </w:rPr>
            </w:pPr>
            <w:r>
              <w:rPr>
                <w:w w:val="115"/>
                <w:sz w:val="15"/>
              </w:rPr>
              <w:t>Volcanic gravel (biofiltration medium)</w:t>
            </w:r>
          </w:p>
        </w:tc>
        <w:tc>
          <w:tcPr>
            <w:tcW w:w="1489" w:type="dxa"/>
            <w:tcBorders>
              <w:right w:val="nil"/>
            </w:tcBorders>
          </w:tcPr>
          <w:p w:rsidR="00575E51" w:rsidRDefault="00575E51" w:rsidP="00866D14">
            <w:pPr>
              <w:pStyle w:val="TableParagraph"/>
              <w:ind w:left="609" w:right="586"/>
              <w:jc w:val="center"/>
              <w:rPr>
                <w:sz w:val="15"/>
              </w:rPr>
            </w:pPr>
            <w:r>
              <w:rPr>
                <w:w w:val="110"/>
                <w:sz w:val="15"/>
              </w:rPr>
              <w:t>120</w:t>
            </w:r>
          </w:p>
        </w:tc>
      </w:tr>
      <w:tr w:rsidR="00575E51" w:rsidTr="00866D14">
        <w:trPr>
          <w:trHeight w:hRule="exact" w:val="271"/>
        </w:trPr>
        <w:tc>
          <w:tcPr>
            <w:tcW w:w="6212" w:type="dxa"/>
            <w:tcBorders>
              <w:left w:val="nil"/>
            </w:tcBorders>
          </w:tcPr>
          <w:p w:rsidR="00575E51" w:rsidRDefault="00575E51" w:rsidP="00866D14">
            <w:pPr>
              <w:pStyle w:val="TableParagraph"/>
              <w:ind w:left="96"/>
              <w:rPr>
                <w:sz w:val="15"/>
              </w:rPr>
            </w:pPr>
            <w:r>
              <w:rPr>
                <w:w w:val="115"/>
                <w:sz w:val="15"/>
              </w:rPr>
              <w:t>Miscellaneous items: fish net, plumber’s tape (Teflon), shading material, etc.</w:t>
            </w:r>
          </w:p>
        </w:tc>
        <w:tc>
          <w:tcPr>
            <w:tcW w:w="1489" w:type="dxa"/>
            <w:tcBorders>
              <w:right w:val="nil"/>
            </w:tcBorders>
          </w:tcPr>
          <w:p w:rsidR="00575E51" w:rsidRDefault="00575E51" w:rsidP="00866D14">
            <w:pPr>
              <w:pStyle w:val="TableParagraph"/>
              <w:ind w:left="609" w:right="586"/>
              <w:jc w:val="center"/>
              <w:rPr>
                <w:sz w:val="15"/>
              </w:rPr>
            </w:pPr>
            <w:r>
              <w:rPr>
                <w:w w:val="110"/>
                <w:sz w:val="15"/>
              </w:rPr>
              <w:t>100</w:t>
            </w:r>
          </w:p>
        </w:tc>
      </w:tr>
      <w:tr w:rsidR="00575E51" w:rsidTr="00866D14">
        <w:trPr>
          <w:trHeight w:hRule="exact" w:val="271"/>
        </w:trPr>
        <w:tc>
          <w:tcPr>
            <w:tcW w:w="6212" w:type="dxa"/>
            <w:tcBorders>
              <w:left w:val="nil"/>
            </w:tcBorders>
          </w:tcPr>
          <w:p w:rsidR="00575E51" w:rsidRDefault="00575E51" w:rsidP="00866D14">
            <w:pPr>
              <w:pStyle w:val="TableParagraph"/>
              <w:ind w:left="96"/>
              <w:rPr>
                <w:sz w:val="15"/>
              </w:rPr>
            </w:pPr>
            <w:r>
              <w:rPr>
                <w:w w:val="115"/>
                <w:sz w:val="15"/>
              </w:rPr>
              <w:t>Plumbing: pipe, pipe fittings and connections</w:t>
            </w:r>
          </w:p>
        </w:tc>
        <w:tc>
          <w:tcPr>
            <w:tcW w:w="1489" w:type="dxa"/>
            <w:tcBorders>
              <w:right w:val="nil"/>
            </w:tcBorders>
          </w:tcPr>
          <w:p w:rsidR="00575E51" w:rsidRDefault="00575E51" w:rsidP="00866D14">
            <w:pPr>
              <w:pStyle w:val="TableParagraph"/>
              <w:ind w:left="609" w:right="503"/>
              <w:jc w:val="center"/>
              <w:rPr>
                <w:sz w:val="15"/>
              </w:rPr>
            </w:pPr>
            <w:r>
              <w:rPr>
                <w:w w:val="110"/>
                <w:sz w:val="15"/>
              </w:rPr>
              <w:t>80</w:t>
            </w:r>
          </w:p>
        </w:tc>
      </w:tr>
      <w:tr w:rsidR="00575E51" w:rsidTr="00866D14">
        <w:trPr>
          <w:trHeight w:hRule="exact" w:val="264"/>
        </w:trPr>
        <w:tc>
          <w:tcPr>
            <w:tcW w:w="6212" w:type="dxa"/>
            <w:tcBorders>
              <w:left w:val="nil"/>
            </w:tcBorders>
          </w:tcPr>
          <w:p w:rsidR="00575E51" w:rsidRDefault="00575E51" w:rsidP="00866D14">
            <w:pPr>
              <w:pStyle w:val="TableParagraph"/>
              <w:spacing w:before="48"/>
              <w:ind w:left="96"/>
              <w:rPr>
                <w:b/>
                <w:sz w:val="14"/>
              </w:rPr>
            </w:pPr>
            <w:r>
              <w:rPr>
                <w:b/>
                <w:w w:val="115"/>
                <w:sz w:val="14"/>
              </w:rPr>
              <w:t>Total</w:t>
            </w:r>
          </w:p>
        </w:tc>
        <w:tc>
          <w:tcPr>
            <w:tcW w:w="1489" w:type="dxa"/>
            <w:tcBorders>
              <w:right w:val="nil"/>
            </w:tcBorders>
          </w:tcPr>
          <w:p w:rsidR="00575E51" w:rsidRDefault="00575E51" w:rsidP="00866D14">
            <w:pPr>
              <w:pStyle w:val="TableParagraph"/>
              <w:spacing w:before="48"/>
              <w:ind w:left="609" w:right="570"/>
              <w:jc w:val="center"/>
              <w:rPr>
                <w:b/>
                <w:sz w:val="14"/>
              </w:rPr>
            </w:pPr>
            <w:r>
              <w:rPr>
                <w:b/>
                <w:w w:val="110"/>
                <w:sz w:val="14"/>
              </w:rPr>
              <w:t>700</w:t>
            </w:r>
          </w:p>
        </w:tc>
      </w:tr>
    </w:tbl>
    <w:p w:rsidR="00575E51" w:rsidRDefault="00575E51" w:rsidP="00575E51">
      <w:pPr>
        <w:spacing w:before="52"/>
        <w:ind w:left="1167" w:right="297"/>
        <w:rPr>
          <w:rFonts w:ascii="Calibri"/>
          <w:sz w:val="14"/>
        </w:rPr>
      </w:pPr>
      <w:r>
        <w:rPr>
          <w:rFonts w:ascii="Calibri"/>
          <w:i/>
          <w:w w:val="115"/>
          <w:sz w:val="14"/>
        </w:rPr>
        <w:t xml:space="preserve">Notes: </w:t>
      </w:r>
      <w:r>
        <w:rPr>
          <w:rFonts w:ascii="Calibri"/>
          <w:w w:val="115"/>
          <w:sz w:val="14"/>
        </w:rPr>
        <w:t>All items in this table are discussed, at length, in Appendix 8 of this   publication.</w:t>
      </w:r>
    </w:p>
    <w:p w:rsidR="00575E51" w:rsidRDefault="00575E51" w:rsidP="00575E51">
      <w:pPr>
        <w:spacing w:before="18"/>
        <w:ind w:left="1167" w:right="297"/>
        <w:rPr>
          <w:rFonts w:ascii="Calibri"/>
          <w:sz w:val="14"/>
        </w:rPr>
      </w:pPr>
      <w:r>
        <w:rPr>
          <w:rFonts w:ascii="Calibri"/>
          <w:w w:val="115"/>
          <w:sz w:val="14"/>
        </w:rPr>
        <w:t>*      The life span of IBC tanks will increase if protected from the sun light with a paint coating or other material.</w:t>
      </w:r>
    </w:p>
    <w:p w:rsidR="00575E51" w:rsidRDefault="00575E51" w:rsidP="00575E51">
      <w:pPr>
        <w:pStyle w:val="BodyText"/>
        <w:spacing w:before="8"/>
        <w:rPr>
          <w:rFonts w:ascii="Calibri"/>
          <w:sz w:val="8"/>
        </w:rPr>
      </w:pPr>
    </w:p>
    <w:p w:rsidR="00575E51" w:rsidRDefault="00575E51" w:rsidP="00575E51">
      <w:pPr>
        <w:spacing w:before="75"/>
        <w:ind w:left="1167" w:right="297"/>
        <w:rPr>
          <w:rFonts w:ascii="Calibri"/>
          <w:sz w:val="16"/>
        </w:rPr>
      </w:pPr>
      <w:r>
        <w:rPr>
          <w:rFonts w:ascii="Calibri"/>
          <w:w w:val="115"/>
          <w:sz w:val="16"/>
        </w:rPr>
        <w:t>TABLE A7.2</w:t>
      </w:r>
    </w:p>
    <w:p w:rsidR="00575E51" w:rsidRDefault="00575E51" w:rsidP="00575E51">
      <w:pPr>
        <w:spacing w:before="15"/>
        <w:ind w:left="1167" w:right="297"/>
        <w:rPr>
          <w:rFonts w:ascii="Calibri"/>
          <w:b/>
          <w:sz w:val="17"/>
        </w:rPr>
      </w:pPr>
      <w:r>
        <w:rPr>
          <w:rFonts w:ascii="Calibri"/>
          <w:b/>
          <w:w w:val="115"/>
          <w:sz w:val="17"/>
        </w:rPr>
        <w:t>Total monthly operating cost for running a small-scale aquaponic unit</w:t>
      </w:r>
    </w:p>
    <w:p w:rsidR="00575E51" w:rsidRDefault="00575E51" w:rsidP="00575E51">
      <w:pPr>
        <w:pStyle w:val="BodyText"/>
        <w:spacing w:before="5"/>
        <w:rPr>
          <w:rFonts w:ascii="Calibri"/>
          <w:b/>
          <w:sz w:val="7"/>
        </w:rPr>
      </w:pPr>
    </w:p>
    <w:tbl>
      <w:tblPr>
        <w:tblW w:w="0" w:type="auto"/>
        <w:tblInd w:w="1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45"/>
        <w:gridCol w:w="1416"/>
        <w:gridCol w:w="1416"/>
        <w:gridCol w:w="1417"/>
        <w:gridCol w:w="1416"/>
      </w:tblGrid>
      <w:tr w:rsidR="00575E51" w:rsidTr="00866D14">
        <w:trPr>
          <w:trHeight w:hRule="exact" w:val="424"/>
        </w:trPr>
        <w:tc>
          <w:tcPr>
            <w:tcW w:w="2045" w:type="dxa"/>
            <w:tcBorders>
              <w:left w:val="nil"/>
            </w:tcBorders>
            <w:shd w:val="clear" w:color="auto" w:fill="E3F3F3"/>
          </w:tcPr>
          <w:p w:rsidR="00575E51" w:rsidRDefault="00575E51" w:rsidP="00866D14">
            <w:pPr>
              <w:pStyle w:val="TableParagraph"/>
              <w:spacing w:before="6"/>
              <w:rPr>
                <w:b/>
                <w:sz w:val="10"/>
              </w:rPr>
            </w:pPr>
          </w:p>
          <w:p w:rsidR="00575E51" w:rsidRDefault="00575E51" w:rsidP="00866D14">
            <w:pPr>
              <w:pStyle w:val="TableParagraph"/>
              <w:spacing w:before="0"/>
              <w:ind w:left="107"/>
              <w:rPr>
                <w:b/>
                <w:sz w:val="14"/>
              </w:rPr>
            </w:pPr>
            <w:r>
              <w:rPr>
                <w:b/>
                <w:w w:val="115"/>
                <w:sz w:val="14"/>
              </w:rPr>
              <w:t>System inputs</w:t>
            </w:r>
          </w:p>
        </w:tc>
        <w:tc>
          <w:tcPr>
            <w:tcW w:w="1416" w:type="dxa"/>
            <w:shd w:val="clear" w:color="auto" w:fill="E3F3F3"/>
          </w:tcPr>
          <w:p w:rsidR="00575E51" w:rsidRDefault="00575E51" w:rsidP="00866D14">
            <w:pPr>
              <w:pStyle w:val="TableParagraph"/>
              <w:spacing w:before="6"/>
              <w:rPr>
                <w:b/>
                <w:sz w:val="10"/>
              </w:rPr>
            </w:pPr>
          </w:p>
          <w:p w:rsidR="00575E51" w:rsidRDefault="00575E51" w:rsidP="00866D14">
            <w:pPr>
              <w:pStyle w:val="TableParagraph"/>
              <w:spacing w:before="0"/>
              <w:ind w:left="548" w:right="548"/>
              <w:jc w:val="center"/>
              <w:rPr>
                <w:b/>
                <w:sz w:val="14"/>
              </w:rPr>
            </w:pPr>
            <w:r>
              <w:rPr>
                <w:b/>
                <w:w w:val="110"/>
                <w:sz w:val="14"/>
              </w:rPr>
              <w:t>Unit</w:t>
            </w:r>
          </w:p>
        </w:tc>
        <w:tc>
          <w:tcPr>
            <w:tcW w:w="1416" w:type="dxa"/>
            <w:shd w:val="clear" w:color="auto" w:fill="E3F3F3"/>
          </w:tcPr>
          <w:p w:rsidR="00575E51" w:rsidRDefault="00575E51" w:rsidP="00866D14">
            <w:pPr>
              <w:pStyle w:val="TableParagraph"/>
              <w:spacing w:before="6"/>
              <w:rPr>
                <w:b/>
                <w:sz w:val="10"/>
              </w:rPr>
            </w:pPr>
          </w:p>
          <w:p w:rsidR="00575E51" w:rsidRDefault="00575E51" w:rsidP="00866D14">
            <w:pPr>
              <w:pStyle w:val="TableParagraph"/>
              <w:spacing w:before="0"/>
              <w:ind w:left="164"/>
              <w:rPr>
                <w:b/>
                <w:sz w:val="14"/>
              </w:rPr>
            </w:pPr>
            <w:r>
              <w:rPr>
                <w:b/>
                <w:w w:val="110"/>
                <w:sz w:val="14"/>
              </w:rPr>
              <w:t>Units per month</w:t>
            </w:r>
          </w:p>
        </w:tc>
        <w:tc>
          <w:tcPr>
            <w:tcW w:w="1416" w:type="dxa"/>
            <w:shd w:val="clear" w:color="auto" w:fill="E3F3F3"/>
          </w:tcPr>
          <w:p w:rsidR="00575E51" w:rsidRDefault="00575E51" w:rsidP="00866D14">
            <w:pPr>
              <w:pStyle w:val="TableParagraph"/>
              <w:spacing w:before="54" w:line="160" w:lineRule="exact"/>
              <w:ind w:left="480" w:hanging="215"/>
              <w:rPr>
                <w:b/>
                <w:sz w:val="14"/>
              </w:rPr>
            </w:pPr>
            <w:r>
              <w:rPr>
                <w:b/>
                <w:w w:val="110"/>
                <w:sz w:val="14"/>
              </w:rPr>
              <w:t>Price per unit (USD)*</w:t>
            </w:r>
          </w:p>
        </w:tc>
        <w:tc>
          <w:tcPr>
            <w:tcW w:w="1416" w:type="dxa"/>
            <w:tcBorders>
              <w:right w:val="nil"/>
            </w:tcBorders>
            <w:shd w:val="clear" w:color="auto" w:fill="E3F3F3"/>
          </w:tcPr>
          <w:p w:rsidR="00575E51" w:rsidRDefault="00575E51" w:rsidP="00866D14">
            <w:pPr>
              <w:pStyle w:val="TableParagraph"/>
              <w:spacing w:before="54" w:line="160" w:lineRule="exact"/>
              <w:ind w:left="518" w:right="379" w:hanging="127"/>
              <w:rPr>
                <w:b/>
                <w:sz w:val="14"/>
              </w:rPr>
            </w:pPr>
            <w:r>
              <w:rPr>
                <w:b/>
                <w:w w:val="110"/>
                <w:sz w:val="14"/>
              </w:rPr>
              <w:t>Total cost (USD)</w:t>
            </w:r>
          </w:p>
        </w:tc>
      </w:tr>
      <w:tr w:rsidR="00575E51" w:rsidTr="00866D14">
        <w:trPr>
          <w:trHeight w:hRule="exact" w:val="271"/>
        </w:trPr>
        <w:tc>
          <w:tcPr>
            <w:tcW w:w="2045" w:type="dxa"/>
            <w:tcBorders>
              <w:left w:val="nil"/>
            </w:tcBorders>
          </w:tcPr>
          <w:p w:rsidR="00575E51" w:rsidRDefault="00575E51" w:rsidP="00866D14">
            <w:pPr>
              <w:pStyle w:val="TableParagraph"/>
              <w:ind w:left="107"/>
              <w:rPr>
                <w:sz w:val="15"/>
              </w:rPr>
            </w:pPr>
            <w:r>
              <w:rPr>
                <w:w w:val="110"/>
                <w:sz w:val="15"/>
              </w:rPr>
              <w:t>Plants</w:t>
            </w:r>
          </w:p>
        </w:tc>
        <w:tc>
          <w:tcPr>
            <w:tcW w:w="1416" w:type="dxa"/>
          </w:tcPr>
          <w:p w:rsidR="00575E51" w:rsidRDefault="00575E51" w:rsidP="00866D14">
            <w:pPr>
              <w:pStyle w:val="TableParagraph"/>
              <w:ind w:left="105"/>
              <w:rPr>
                <w:sz w:val="15"/>
              </w:rPr>
            </w:pPr>
            <w:r>
              <w:rPr>
                <w:w w:val="115"/>
                <w:sz w:val="15"/>
              </w:rPr>
              <w:t>Seedling</w:t>
            </w:r>
          </w:p>
        </w:tc>
        <w:tc>
          <w:tcPr>
            <w:tcW w:w="1416" w:type="dxa"/>
          </w:tcPr>
          <w:p w:rsidR="00575E51" w:rsidRDefault="00575E51" w:rsidP="00866D14">
            <w:pPr>
              <w:pStyle w:val="TableParagraph"/>
              <w:ind w:left="638" w:right="399"/>
              <w:jc w:val="center"/>
              <w:rPr>
                <w:sz w:val="15"/>
              </w:rPr>
            </w:pPr>
            <w:r>
              <w:rPr>
                <w:w w:val="110"/>
                <w:sz w:val="15"/>
              </w:rPr>
              <w:t>35</w:t>
            </w:r>
          </w:p>
        </w:tc>
        <w:tc>
          <w:tcPr>
            <w:tcW w:w="1416" w:type="dxa"/>
          </w:tcPr>
          <w:p w:rsidR="00575E51" w:rsidRDefault="00575E51" w:rsidP="00866D14">
            <w:pPr>
              <w:pStyle w:val="TableParagraph"/>
              <w:ind w:right="500"/>
              <w:jc w:val="right"/>
              <w:rPr>
                <w:sz w:val="15"/>
              </w:rPr>
            </w:pPr>
            <w:r>
              <w:rPr>
                <w:w w:val="105"/>
                <w:sz w:val="15"/>
              </w:rPr>
              <w:t>0.10</w:t>
            </w:r>
          </w:p>
        </w:tc>
        <w:tc>
          <w:tcPr>
            <w:tcW w:w="1416" w:type="dxa"/>
            <w:tcBorders>
              <w:right w:val="nil"/>
            </w:tcBorders>
          </w:tcPr>
          <w:p w:rsidR="00575E51" w:rsidRDefault="00575E51" w:rsidP="00866D14">
            <w:pPr>
              <w:pStyle w:val="TableParagraph"/>
              <w:ind w:right="502"/>
              <w:jc w:val="right"/>
              <w:rPr>
                <w:sz w:val="15"/>
              </w:rPr>
            </w:pPr>
            <w:r>
              <w:rPr>
                <w:w w:val="105"/>
                <w:sz w:val="15"/>
              </w:rPr>
              <w:t>3.50</w:t>
            </w:r>
          </w:p>
        </w:tc>
      </w:tr>
      <w:tr w:rsidR="00575E51" w:rsidTr="00866D14">
        <w:trPr>
          <w:trHeight w:hRule="exact" w:val="271"/>
        </w:trPr>
        <w:tc>
          <w:tcPr>
            <w:tcW w:w="2045" w:type="dxa"/>
            <w:tcBorders>
              <w:left w:val="nil"/>
            </w:tcBorders>
          </w:tcPr>
          <w:p w:rsidR="00575E51" w:rsidRDefault="00575E51" w:rsidP="00866D14">
            <w:pPr>
              <w:pStyle w:val="TableParagraph"/>
              <w:ind w:left="107"/>
              <w:rPr>
                <w:sz w:val="15"/>
              </w:rPr>
            </w:pPr>
            <w:r>
              <w:rPr>
                <w:w w:val="110"/>
                <w:sz w:val="15"/>
              </w:rPr>
              <w:t>Fish</w:t>
            </w:r>
          </w:p>
        </w:tc>
        <w:tc>
          <w:tcPr>
            <w:tcW w:w="1416" w:type="dxa"/>
          </w:tcPr>
          <w:p w:rsidR="00575E51" w:rsidRDefault="00575E51" w:rsidP="00866D14">
            <w:pPr>
              <w:pStyle w:val="TableParagraph"/>
              <w:ind w:left="105"/>
              <w:rPr>
                <w:sz w:val="15"/>
              </w:rPr>
            </w:pPr>
            <w:r>
              <w:rPr>
                <w:w w:val="120"/>
                <w:sz w:val="15"/>
              </w:rPr>
              <w:t>Fingerling</w:t>
            </w:r>
          </w:p>
        </w:tc>
        <w:tc>
          <w:tcPr>
            <w:tcW w:w="1416" w:type="dxa"/>
          </w:tcPr>
          <w:p w:rsidR="00575E51" w:rsidRDefault="00575E51" w:rsidP="00866D14">
            <w:pPr>
              <w:pStyle w:val="TableParagraph"/>
              <w:ind w:left="323"/>
              <w:jc w:val="center"/>
              <w:rPr>
                <w:sz w:val="15"/>
              </w:rPr>
            </w:pPr>
            <w:r>
              <w:rPr>
                <w:w w:val="109"/>
                <w:sz w:val="15"/>
              </w:rPr>
              <w:t>5</w:t>
            </w:r>
          </w:p>
        </w:tc>
        <w:tc>
          <w:tcPr>
            <w:tcW w:w="1416" w:type="dxa"/>
          </w:tcPr>
          <w:p w:rsidR="00575E51" w:rsidRDefault="00575E51" w:rsidP="00866D14">
            <w:pPr>
              <w:pStyle w:val="TableParagraph"/>
              <w:ind w:right="500"/>
              <w:jc w:val="right"/>
              <w:rPr>
                <w:sz w:val="15"/>
              </w:rPr>
            </w:pPr>
            <w:r>
              <w:rPr>
                <w:w w:val="105"/>
                <w:sz w:val="15"/>
              </w:rPr>
              <w:t>1.00</w:t>
            </w:r>
          </w:p>
        </w:tc>
        <w:tc>
          <w:tcPr>
            <w:tcW w:w="1416" w:type="dxa"/>
            <w:tcBorders>
              <w:right w:val="nil"/>
            </w:tcBorders>
          </w:tcPr>
          <w:p w:rsidR="00575E51" w:rsidRDefault="00575E51" w:rsidP="00866D14">
            <w:pPr>
              <w:pStyle w:val="TableParagraph"/>
              <w:ind w:right="502"/>
              <w:jc w:val="right"/>
              <w:rPr>
                <w:sz w:val="15"/>
              </w:rPr>
            </w:pPr>
            <w:r>
              <w:rPr>
                <w:w w:val="105"/>
                <w:sz w:val="15"/>
              </w:rPr>
              <w:t>5.00</w:t>
            </w:r>
          </w:p>
        </w:tc>
      </w:tr>
      <w:tr w:rsidR="00575E51" w:rsidTr="00866D14">
        <w:trPr>
          <w:trHeight w:hRule="exact" w:val="271"/>
        </w:trPr>
        <w:tc>
          <w:tcPr>
            <w:tcW w:w="2045" w:type="dxa"/>
            <w:tcBorders>
              <w:left w:val="nil"/>
            </w:tcBorders>
          </w:tcPr>
          <w:p w:rsidR="00575E51" w:rsidRDefault="00575E51" w:rsidP="00866D14">
            <w:pPr>
              <w:pStyle w:val="TableParagraph"/>
              <w:ind w:left="107"/>
              <w:rPr>
                <w:sz w:val="15"/>
              </w:rPr>
            </w:pPr>
            <w:r>
              <w:rPr>
                <w:w w:val="115"/>
                <w:sz w:val="15"/>
              </w:rPr>
              <w:t>Electricity</w:t>
            </w:r>
          </w:p>
        </w:tc>
        <w:tc>
          <w:tcPr>
            <w:tcW w:w="1416" w:type="dxa"/>
          </w:tcPr>
          <w:p w:rsidR="00575E51" w:rsidRDefault="00575E51" w:rsidP="00866D14">
            <w:pPr>
              <w:pStyle w:val="TableParagraph"/>
              <w:ind w:left="105"/>
              <w:rPr>
                <w:sz w:val="15"/>
              </w:rPr>
            </w:pPr>
            <w:r>
              <w:rPr>
                <w:w w:val="115"/>
                <w:sz w:val="15"/>
              </w:rPr>
              <w:t>kWh</w:t>
            </w:r>
          </w:p>
        </w:tc>
        <w:tc>
          <w:tcPr>
            <w:tcW w:w="1416" w:type="dxa"/>
          </w:tcPr>
          <w:p w:rsidR="00575E51" w:rsidRDefault="00575E51" w:rsidP="00866D14">
            <w:pPr>
              <w:pStyle w:val="TableParagraph"/>
              <w:ind w:left="638" w:right="399"/>
              <w:jc w:val="center"/>
              <w:rPr>
                <w:sz w:val="15"/>
              </w:rPr>
            </w:pPr>
            <w:r>
              <w:rPr>
                <w:w w:val="110"/>
                <w:sz w:val="15"/>
              </w:rPr>
              <w:t>25</w:t>
            </w:r>
          </w:p>
        </w:tc>
        <w:tc>
          <w:tcPr>
            <w:tcW w:w="1416" w:type="dxa"/>
          </w:tcPr>
          <w:p w:rsidR="00575E51" w:rsidRDefault="00575E51" w:rsidP="00866D14">
            <w:pPr>
              <w:pStyle w:val="TableParagraph"/>
              <w:ind w:right="500"/>
              <w:jc w:val="right"/>
              <w:rPr>
                <w:sz w:val="15"/>
              </w:rPr>
            </w:pPr>
            <w:r>
              <w:rPr>
                <w:w w:val="105"/>
                <w:sz w:val="15"/>
              </w:rPr>
              <w:t>0.10</w:t>
            </w:r>
          </w:p>
        </w:tc>
        <w:tc>
          <w:tcPr>
            <w:tcW w:w="1416" w:type="dxa"/>
            <w:tcBorders>
              <w:right w:val="nil"/>
            </w:tcBorders>
          </w:tcPr>
          <w:p w:rsidR="00575E51" w:rsidRDefault="00575E51" w:rsidP="00866D14">
            <w:pPr>
              <w:pStyle w:val="TableParagraph"/>
              <w:ind w:right="502"/>
              <w:jc w:val="right"/>
              <w:rPr>
                <w:sz w:val="15"/>
              </w:rPr>
            </w:pPr>
            <w:r>
              <w:rPr>
                <w:w w:val="105"/>
                <w:sz w:val="15"/>
              </w:rPr>
              <w:t>2.50</w:t>
            </w:r>
          </w:p>
        </w:tc>
      </w:tr>
      <w:tr w:rsidR="00575E51" w:rsidTr="00866D14">
        <w:trPr>
          <w:trHeight w:hRule="exact" w:val="271"/>
        </w:trPr>
        <w:tc>
          <w:tcPr>
            <w:tcW w:w="2045" w:type="dxa"/>
            <w:tcBorders>
              <w:left w:val="nil"/>
            </w:tcBorders>
          </w:tcPr>
          <w:p w:rsidR="00575E51" w:rsidRDefault="00575E51" w:rsidP="00866D14">
            <w:pPr>
              <w:pStyle w:val="TableParagraph"/>
              <w:ind w:left="107"/>
              <w:rPr>
                <w:sz w:val="15"/>
              </w:rPr>
            </w:pPr>
            <w:r>
              <w:rPr>
                <w:w w:val="115"/>
                <w:sz w:val="15"/>
              </w:rPr>
              <w:t>Water</w:t>
            </w:r>
          </w:p>
        </w:tc>
        <w:tc>
          <w:tcPr>
            <w:tcW w:w="1416" w:type="dxa"/>
          </w:tcPr>
          <w:p w:rsidR="00575E51" w:rsidRDefault="00575E51" w:rsidP="00866D14">
            <w:pPr>
              <w:pStyle w:val="TableParagraph"/>
              <w:ind w:left="105"/>
              <w:rPr>
                <w:sz w:val="15"/>
              </w:rPr>
            </w:pPr>
            <w:r>
              <w:rPr>
                <w:w w:val="115"/>
                <w:sz w:val="15"/>
              </w:rPr>
              <w:t>litre</w:t>
            </w:r>
          </w:p>
        </w:tc>
        <w:tc>
          <w:tcPr>
            <w:tcW w:w="1416" w:type="dxa"/>
          </w:tcPr>
          <w:p w:rsidR="00575E51" w:rsidRDefault="00575E51" w:rsidP="00866D14">
            <w:pPr>
              <w:pStyle w:val="TableParagraph"/>
              <w:ind w:left="638" w:right="482"/>
              <w:jc w:val="center"/>
              <w:rPr>
                <w:sz w:val="15"/>
              </w:rPr>
            </w:pPr>
            <w:r>
              <w:rPr>
                <w:w w:val="110"/>
                <w:sz w:val="15"/>
              </w:rPr>
              <w:t>450</w:t>
            </w:r>
          </w:p>
        </w:tc>
        <w:tc>
          <w:tcPr>
            <w:tcW w:w="1416" w:type="dxa"/>
          </w:tcPr>
          <w:p w:rsidR="00575E51" w:rsidRDefault="00575E51" w:rsidP="00866D14">
            <w:pPr>
              <w:pStyle w:val="TableParagraph"/>
              <w:ind w:right="500"/>
              <w:jc w:val="right"/>
              <w:rPr>
                <w:sz w:val="15"/>
              </w:rPr>
            </w:pPr>
            <w:r>
              <w:rPr>
                <w:w w:val="105"/>
                <w:sz w:val="15"/>
              </w:rPr>
              <w:t>0.0027</w:t>
            </w:r>
          </w:p>
        </w:tc>
        <w:tc>
          <w:tcPr>
            <w:tcW w:w="1416" w:type="dxa"/>
            <w:tcBorders>
              <w:right w:val="nil"/>
            </w:tcBorders>
          </w:tcPr>
          <w:p w:rsidR="00575E51" w:rsidRDefault="00575E51" w:rsidP="00866D14">
            <w:pPr>
              <w:pStyle w:val="TableParagraph"/>
              <w:ind w:right="502"/>
              <w:jc w:val="right"/>
              <w:rPr>
                <w:sz w:val="15"/>
              </w:rPr>
            </w:pPr>
            <w:r>
              <w:rPr>
                <w:w w:val="105"/>
                <w:sz w:val="15"/>
              </w:rPr>
              <w:t>1.20</w:t>
            </w:r>
          </w:p>
        </w:tc>
      </w:tr>
      <w:tr w:rsidR="00575E51" w:rsidTr="00866D14">
        <w:trPr>
          <w:trHeight w:hRule="exact" w:val="271"/>
        </w:trPr>
        <w:tc>
          <w:tcPr>
            <w:tcW w:w="2045" w:type="dxa"/>
            <w:tcBorders>
              <w:left w:val="nil"/>
            </w:tcBorders>
          </w:tcPr>
          <w:p w:rsidR="00575E51" w:rsidRDefault="00575E51" w:rsidP="00866D14">
            <w:pPr>
              <w:pStyle w:val="TableParagraph"/>
              <w:ind w:left="107"/>
              <w:rPr>
                <w:sz w:val="15"/>
              </w:rPr>
            </w:pPr>
            <w:r>
              <w:rPr>
                <w:w w:val="115"/>
                <w:sz w:val="15"/>
              </w:rPr>
              <w:t>Fish feed</w:t>
            </w:r>
          </w:p>
        </w:tc>
        <w:tc>
          <w:tcPr>
            <w:tcW w:w="1416" w:type="dxa"/>
          </w:tcPr>
          <w:p w:rsidR="00575E51" w:rsidRDefault="00575E51" w:rsidP="00866D14">
            <w:pPr>
              <w:pStyle w:val="TableParagraph"/>
              <w:ind w:left="105"/>
              <w:rPr>
                <w:sz w:val="15"/>
              </w:rPr>
            </w:pPr>
            <w:r>
              <w:rPr>
                <w:w w:val="125"/>
                <w:sz w:val="15"/>
              </w:rPr>
              <w:t>kg</w:t>
            </w:r>
          </w:p>
        </w:tc>
        <w:tc>
          <w:tcPr>
            <w:tcW w:w="1416" w:type="dxa"/>
          </w:tcPr>
          <w:p w:rsidR="00575E51" w:rsidRDefault="00575E51" w:rsidP="00866D14">
            <w:pPr>
              <w:pStyle w:val="TableParagraph"/>
              <w:ind w:left="638" w:right="440"/>
              <w:jc w:val="center"/>
              <w:rPr>
                <w:sz w:val="15"/>
              </w:rPr>
            </w:pPr>
            <w:r>
              <w:rPr>
                <w:w w:val="110"/>
                <w:sz w:val="15"/>
              </w:rPr>
              <w:t>4.5</w:t>
            </w:r>
          </w:p>
        </w:tc>
        <w:tc>
          <w:tcPr>
            <w:tcW w:w="1416" w:type="dxa"/>
          </w:tcPr>
          <w:p w:rsidR="00575E51" w:rsidRDefault="00575E51" w:rsidP="00866D14">
            <w:pPr>
              <w:pStyle w:val="TableParagraph"/>
              <w:ind w:right="500"/>
              <w:jc w:val="right"/>
              <w:rPr>
                <w:sz w:val="15"/>
              </w:rPr>
            </w:pPr>
            <w:r>
              <w:rPr>
                <w:w w:val="105"/>
                <w:sz w:val="15"/>
              </w:rPr>
              <w:t>2.50</w:t>
            </w:r>
          </w:p>
        </w:tc>
        <w:tc>
          <w:tcPr>
            <w:tcW w:w="1416" w:type="dxa"/>
            <w:tcBorders>
              <w:right w:val="nil"/>
            </w:tcBorders>
          </w:tcPr>
          <w:p w:rsidR="00575E51" w:rsidRDefault="00575E51" w:rsidP="00866D14">
            <w:pPr>
              <w:pStyle w:val="TableParagraph"/>
              <w:ind w:right="502"/>
              <w:jc w:val="right"/>
              <w:rPr>
                <w:sz w:val="15"/>
              </w:rPr>
            </w:pPr>
            <w:r>
              <w:rPr>
                <w:w w:val="105"/>
                <w:sz w:val="15"/>
              </w:rPr>
              <w:t>11.25</w:t>
            </w:r>
          </w:p>
        </w:tc>
      </w:tr>
      <w:tr w:rsidR="00575E51" w:rsidTr="00866D14">
        <w:trPr>
          <w:trHeight w:hRule="exact" w:val="271"/>
        </w:trPr>
        <w:tc>
          <w:tcPr>
            <w:tcW w:w="2045" w:type="dxa"/>
            <w:tcBorders>
              <w:left w:val="nil"/>
            </w:tcBorders>
          </w:tcPr>
          <w:p w:rsidR="00575E51" w:rsidRDefault="00575E51" w:rsidP="00866D14">
            <w:pPr>
              <w:pStyle w:val="TableParagraph"/>
              <w:ind w:left="107"/>
              <w:rPr>
                <w:sz w:val="15"/>
              </w:rPr>
            </w:pPr>
            <w:r>
              <w:rPr>
                <w:w w:val="110"/>
                <w:sz w:val="15"/>
              </w:rPr>
              <w:t>Miscellaneous</w:t>
            </w:r>
          </w:p>
        </w:tc>
        <w:tc>
          <w:tcPr>
            <w:tcW w:w="1416" w:type="dxa"/>
          </w:tcPr>
          <w:p w:rsidR="00575E51" w:rsidRDefault="00575E51" w:rsidP="00866D14">
            <w:pPr>
              <w:pStyle w:val="TableParagraph"/>
              <w:ind w:left="105"/>
              <w:rPr>
                <w:sz w:val="15"/>
              </w:rPr>
            </w:pPr>
            <w:r>
              <w:rPr>
                <w:sz w:val="15"/>
              </w:rPr>
              <w:t>–</w:t>
            </w:r>
          </w:p>
        </w:tc>
        <w:tc>
          <w:tcPr>
            <w:tcW w:w="1416" w:type="dxa"/>
          </w:tcPr>
          <w:p w:rsidR="00575E51" w:rsidRDefault="00575E51" w:rsidP="00866D14">
            <w:pPr>
              <w:pStyle w:val="TableParagraph"/>
              <w:ind w:left="323"/>
              <w:jc w:val="center"/>
              <w:rPr>
                <w:sz w:val="15"/>
              </w:rPr>
            </w:pPr>
            <w:r>
              <w:rPr>
                <w:w w:val="109"/>
                <w:sz w:val="15"/>
              </w:rPr>
              <w:t>1</w:t>
            </w:r>
          </w:p>
        </w:tc>
        <w:tc>
          <w:tcPr>
            <w:tcW w:w="1416" w:type="dxa"/>
          </w:tcPr>
          <w:p w:rsidR="00575E51" w:rsidRDefault="00575E51" w:rsidP="00866D14">
            <w:pPr>
              <w:pStyle w:val="TableParagraph"/>
              <w:ind w:right="500"/>
              <w:jc w:val="right"/>
              <w:rPr>
                <w:sz w:val="15"/>
              </w:rPr>
            </w:pPr>
            <w:r>
              <w:rPr>
                <w:w w:val="105"/>
                <w:sz w:val="15"/>
              </w:rPr>
              <w:t>3.00</w:t>
            </w:r>
          </w:p>
        </w:tc>
        <w:tc>
          <w:tcPr>
            <w:tcW w:w="1416" w:type="dxa"/>
            <w:tcBorders>
              <w:right w:val="nil"/>
            </w:tcBorders>
          </w:tcPr>
          <w:p w:rsidR="00575E51" w:rsidRDefault="00575E51" w:rsidP="00866D14">
            <w:pPr>
              <w:pStyle w:val="TableParagraph"/>
              <w:ind w:right="502"/>
              <w:jc w:val="right"/>
              <w:rPr>
                <w:sz w:val="15"/>
              </w:rPr>
            </w:pPr>
            <w:r>
              <w:rPr>
                <w:w w:val="105"/>
                <w:sz w:val="15"/>
              </w:rPr>
              <w:t>3.00</w:t>
            </w:r>
          </w:p>
        </w:tc>
      </w:tr>
      <w:tr w:rsidR="00575E51" w:rsidTr="00866D14">
        <w:trPr>
          <w:trHeight w:hRule="exact" w:val="264"/>
        </w:trPr>
        <w:tc>
          <w:tcPr>
            <w:tcW w:w="2045" w:type="dxa"/>
            <w:tcBorders>
              <w:left w:val="nil"/>
            </w:tcBorders>
          </w:tcPr>
          <w:p w:rsidR="00575E51" w:rsidRDefault="00575E51" w:rsidP="00866D14">
            <w:pPr>
              <w:pStyle w:val="TableParagraph"/>
              <w:spacing w:before="48"/>
              <w:ind w:left="107"/>
              <w:rPr>
                <w:b/>
                <w:sz w:val="14"/>
              </w:rPr>
            </w:pPr>
            <w:r>
              <w:rPr>
                <w:b/>
                <w:w w:val="110"/>
                <w:sz w:val="14"/>
              </w:rPr>
              <w:t>Total costs/month</w:t>
            </w:r>
          </w:p>
        </w:tc>
        <w:tc>
          <w:tcPr>
            <w:tcW w:w="4249" w:type="dxa"/>
            <w:gridSpan w:val="3"/>
          </w:tcPr>
          <w:p w:rsidR="00575E51" w:rsidRDefault="00575E51" w:rsidP="00866D14"/>
        </w:tc>
        <w:tc>
          <w:tcPr>
            <w:tcW w:w="1416" w:type="dxa"/>
            <w:tcBorders>
              <w:right w:val="nil"/>
            </w:tcBorders>
          </w:tcPr>
          <w:p w:rsidR="00575E51" w:rsidRDefault="00575E51" w:rsidP="00866D14">
            <w:pPr>
              <w:pStyle w:val="TableParagraph"/>
              <w:spacing w:before="48"/>
              <w:ind w:right="502"/>
              <w:jc w:val="right"/>
              <w:rPr>
                <w:b/>
                <w:sz w:val="14"/>
              </w:rPr>
            </w:pPr>
            <w:r>
              <w:rPr>
                <w:b/>
                <w:w w:val="105"/>
                <w:sz w:val="14"/>
              </w:rPr>
              <w:t>26.45</w:t>
            </w:r>
          </w:p>
        </w:tc>
      </w:tr>
    </w:tbl>
    <w:p w:rsidR="00575E51" w:rsidRDefault="00575E51" w:rsidP="00575E51">
      <w:pPr>
        <w:spacing w:before="52"/>
        <w:ind w:left="1167" w:right="297"/>
        <w:rPr>
          <w:rFonts w:ascii="Calibri"/>
          <w:i/>
          <w:sz w:val="14"/>
        </w:rPr>
      </w:pPr>
      <w:r>
        <w:rPr>
          <w:rFonts w:ascii="Calibri"/>
          <w:i/>
          <w:w w:val="110"/>
          <w:sz w:val="14"/>
        </w:rPr>
        <w:t>Notes:</w:t>
      </w:r>
    </w:p>
    <w:p w:rsidR="00575E51" w:rsidRDefault="00575E51" w:rsidP="00575E51">
      <w:pPr>
        <w:spacing w:before="9" w:line="252" w:lineRule="auto"/>
        <w:ind w:left="1338" w:right="297" w:hanging="171"/>
        <w:rPr>
          <w:rFonts w:ascii="Calibri"/>
          <w:sz w:val="14"/>
        </w:rPr>
      </w:pPr>
      <w:r>
        <w:rPr>
          <w:rFonts w:ascii="Calibri"/>
          <w:w w:val="115"/>
          <w:sz w:val="14"/>
        </w:rPr>
        <w:t>* The figures in this column are estimated prices for each input in Israel. Simply replace these figures with locally available prices to calculate the total operating costs in another  location.</w:t>
      </w:r>
    </w:p>
    <w:p w:rsidR="00575E51" w:rsidRDefault="00575E51" w:rsidP="00575E51">
      <w:pPr>
        <w:spacing w:before="55" w:line="249" w:lineRule="auto"/>
        <w:ind w:left="1167" w:right="7"/>
        <w:rPr>
          <w:rFonts w:ascii="Calibri"/>
          <w:sz w:val="14"/>
        </w:rPr>
      </w:pPr>
      <w:r>
        <w:rPr>
          <w:rFonts w:ascii="Calibri"/>
          <w:w w:val="115"/>
          <w:sz w:val="14"/>
        </w:rPr>
        <w:t>Seedlings: 35 seedlings is the average reseeding rate per month for 3 m</w:t>
      </w:r>
      <w:r>
        <w:rPr>
          <w:rFonts w:ascii="Calibri"/>
          <w:w w:val="115"/>
          <w:position w:val="5"/>
          <w:sz w:val="9"/>
        </w:rPr>
        <w:t xml:space="preserve">2 </w:t>
      </w:r>
      <w:r>
        <w:rPr>
          <w:rFonts w:ascii="Calibri"/>
          <w:w w:val="115"/>
          <w:sz w:val="14"/>
        </w:rPr>
        <w:t>of growing space while growing 50 % leafy greens (20 plants/m</w:t>
      </w:r>
      <w:r>
        <w:rPr>
          <w:rFonts w:ascii="Calibri"/>
          <w:w w:val="115"/>
          <w:position w:val="5"/>
          <w:sz w:val="9"/>
        </w:rPr>
        <w:t>2</w:t>
      </w:r>
      <w:r>
        <w:rPr>
          <w:rFonts w:ascii="Calibri"/>
          <w:w w:val="115"/>
          <w:sz w:val="14"/>
        </w:rPr>
        <w:t>) and 50 % fruiting vegetables (5 plants/m</w:t>
      </w:r>
      <w:r>
        <w:rPr>
          <w:rFonts w:ascii="Calibri"/>
          <w:w w:val="115"/>
          <w:position w:val="5"/>
          <w:sz w:val="9"/>
        </w:rPr>
        <w:t>2</w:t>
      </w:r>
      <w:r>
        <w:rPr>
          <w:rFonts w:ascii="Calibri"/>
          <w:w w:val="115"/>
          <w:sz w:val="14"/>
        </w:rPr>
        <w:t>).</w:t>
      </w:r>
    </w:p>
    <w:p w:rsidR="00575E51" w:rsidRDefault="00575E51" w:rsidP="00575E51">
      <w:pPr>
        <w:spacing w:before="59" w:line="252" w:lineRule="auto"/>
        <w:ind w:left="1167" w:right="7"/>
        <w:rPr>
          <w:rFonts w:ascii="Calibri"/>
          <w:sz w:val="14"/>
        </w:rPr>
      </w:pPr>
      <w:r>
        <w:rPr>
          <w:rFonts w:ascii="Calibri"/>
          <w:w w:val="115"/>
          <w:sz w:val="14"/>
        </w:rPr>
        <w:t>Fingerlings: The maximum yearly production is 30 kg, which equates to 60 fish of 500 g per year. Therefore, the unit needs 60 fish per year, or about 5 fish per month.</w:t>
      </w:r>
    </w:p>
    <w:p w:rsidR="00575E51" w:rsidRDefault="00575E51" w:rsidP="00575E51">
      <w:pPr>
        <w:spacing w:before="57"/>
        <w:ind w:left="1167" w:right="297"/>
        <w:rPr>
          <w:rFonts w:ascii="Calibri" w:hAnsi="Calibri"/>
          <w:sz w:val="14"/>
        </w:rPr>
      </w:pPr>
      <w:r>
        <w:rPr>
          <w:rFonts w:ascii="Calibri" w:hAnsi="Calibri"/>
          <w:w w:val="115"/>
          <w:sz w:val="14"/>
        </w:rPr>
        <w:t>Electricity: 30 W (water pump) + 5 W (air pump) × 24 hours × 30 days ÷ 1 000 = 25 kWh per  month.</w:t>
      </w:r>
    </w:p>
    <w:p w:rsidR="00575E51" w:rsidRDefault="00575E51" w:rsidP="00575E51">
      <w:pPr>
        <w:spacing w:before="66" w:line="252" w:lineRule="auto"/>
        <w:ind w:left="1167" w:right="149"/>
        <w:rPr>
          <w:rFonts w:ascii="Calibri" w:hAnsi="Calibri"/>
          <w:sz w:val="14"/>
        </w:rPr>
      </w:pPr>
      <w:r>
        <w:rPr>
          <w:rFonts w:ascii="Calibri" w:hAnsi="Calibri"/>
          <w:w w:val="115"/>
          <w:sz w:val="14"/>
        </w:rPr>
        <w:t xml:space="preserve">Water: On average, the water replenishment volume for a unit growing leafy greens and fruiting vegetables is about </w:t>
      </w:r>
      <w:r>
        <w:rPr>
          <w:rFonts w:ascii="Calibri" w:hAnsi="Calibri"/>
          <w:spacing w:val="36"/>
          <w:w w:val="115"/>
          <w:sz w:val="14"/>
        </w:rPr>
        <w:t xml:space="preserve"> </w:t>
      </w:r>
      <w:r>
        <w:rPr>
          <w:rFonts w:ascii="Calibri" w:hAnsi="Calibri"/>
          <w:w w:val="115"/>
          <w:sz w:val="14"/>
        </w:rPr>
        <w:t>1</w:t>
      </w:r>
      <w:r>
        <w:rPr>
          <w:rFonts w:ascii="Calibri" w:hAnsi="Calibri"/>
          <w:spacing w:val="4"/>
          <w:w w:val="115"/>
          <w:sz w:val="14"/>
        </w:rPr>
        <w:t xml:space="preserve"> </w:t>
      </w:r>
      <w:r>
        <w:rPr>
          <w:rFonts w:ascii="Calibri" w:hAnsi="Calibri"/>
          <w:w w:val="115"/>
          <w:sz w:val="14"/>
        </w:rPr>
        <w:t>%</w:t>
      </w:r>
      <w:r>
        <w:rPr>
          <w:rFonts w:ascii="Calibri" w:hAnsi="Calibri"/>
          <w:spacing w:val="4"/>
          <w:w w:val="115"/>
          <w:sz w:val="14"/>
        </w:rPr>
        <w:t xml:space="preserve"> </w:t>
      </w:r>
      <w:r>
        <w:rPr>
          <w:rFonts w:ascii="Calibri" w:hAnsi="Calibri"/>
          <w:w w:val="115"/>
          <w:sz w:val="14"/>
        </w:rPr>
        <w:t>of</w:t>
      </w:r>
      <w:r>
        <w:rPr>
          <w:rFonts w:ascii="Calibri" w:hAnsi="Calibri"/>
          <w:spacing w:val="4"/>
          <w:w w:val="115"/>
          <w:sz w:val="14"/>
        </w:rPr>
        <w:t xml:space="preserve"> </w:t>
      </w:r>
      <w:r>
        <w:rPr>
          <w:rFonts w:ascii="Calibri" w:hAnsi="Calibri"/>
          <w:w w:val="115"/>
          <w:sz w:val="14"/>
        </w:rPr>
        <w:t>the</w:t>
      </w:r>
      <w:r>
        <w:rPr>
          <w:rFonts w:ascii="Calibri" w:hAnsi="Calibri"/>
          <w:spacing w:val="4"/>
          <w:w w:val="115"/>
          <w:sz w:val="14"/>
        </w:rPr>
        <w:t xml:space="preserve"> </w:t>
      </w:r>
      <w:r>
        <w:rPr>
          <w:rFonts w:ascii="Calibri" w:hAnsi="Calibri"/>
          <w:w w:val="115"/>
          <w:sz w:val="14"/>
        </w:rPr>
        <w:t>total</w:t>
      </w:r>
      <w:r>
        <w:rPr>
          <w:rFonts w:ascii="Calibri" w:hAnsi="Calibri"/>
          <w:spacing w:val="4"/>
          <w:w w:val="115"/>
          <w:sz w:val="14"/>
        </w:rPr>
        <w:t xml:space="preserve"> </w:t>
      </w:r>
      <w:r>
        <w:rPr>
          <w:rFonts w:ascii="Calibri" w:hAnsi="Calibri"/>
          <w:w w:val="115"/>
          <w:sz w:val="14"/>
        </w:rPr>
        <w:t>water</w:t>
      </w:r>
      <w:r>
        <w:rPr>
          <w:rFonts w:ascii="Calibri" w:hAnsi="Calibri"/>
          <w:spacing w:val="4"/>
          <w:w w:val="115"/>
          <w:sz w:val="14"/>
        </w:rPr>
        <w:t xml:space="preserve"> </w:t>
      </w:r>
      <w:r>
        <w:rPr>
          <w:rFonts w:ascii="Calibri" w:hAnsi="Calibri"/>
          <w:w w:val="115"/>
          <w:sz w:val="14"/>
        </w:rPr>
        <w:t>volume</w:t>
      </w:r>
      <w:r>
        <w:rPr>
          <w:rFonts w:ascii="Calibri" w:hAnsi="Calibri"/>
          <w:spacing w:val="4"/>
          <w:w w:val="115"/>
          <w:sz w:val="14"/>
        </w:rPr>
        <w:t xml:space="preserve"> </w:t>
      </w:r>
      <w:r>
        <w:rPr>
          <w:rFonts w:ascii="Calibri" w:hAnsi="Calibri"/>
          <w:w w:val="115"/>
          <w:sz w:val="14"/>
        </w:rPr>
        <w:t>in</w:t>
      </w:r>
      <w:r>
        <w:rPr>
          <w:rFonts w:ascii="Calibri" w:hAnsi="Calibri"/>
          <w:spacing w:val="4"/>
          <w:w w:val="115"/>
          <w:sz w:val="14"/>
        </w:rPr>
        <w:t xml:space="preserve"> </w:t>
      </w:r>
      <w:r>
        <w:rPr>
          <w:rFonts w:ascii="Calibri" w:hAnsi="Calibri"/>
          <w:w w:val="115"/>
          <w:sz w:val="14"/>
        </w:rPr>
        <w:t>the</w:t>
      </w:r>
      <w:r>
        <w:rPr>
          <w:rFonts w:ascii="Calibri" w:hAnsi="Calibri"/>
          <w:spacing w:val="4"/>
          <w:w w:val="115"/>
          <w:sz w:val="14"/>
        </w:rPr>
        <w:t xml:space="preserve"> </w:t>
      </w:r>
      <w:r>
        <w:rPr>
          <w:rFonts w:ascii="Calibri" w:hAnsi="Calibri"/>
          <w:w w:val="115"/>
          <w:sz w:val="14"/>
        </w:rPr>
        <w:t>unit</w:t>
      </w:r>
      <w:r>
        <w:rPr>
          <w:rFonts w:ascii="Calibri" w:hAnsi="Calibri"/>
          <w:spacing w:val="4"/>
          <w:w w:val="115"/>
          <w:sz w:val="14"/>
        </w:rPr>
        <w:t xml:space="preserve"> </w:t>
      </w:r>
      <w:r>
        <w:rPr>
          <w:rFonts w:ascii="Calibri" w:hAnsi="Calibri"/>
          <w:w w:val="115"/>
          <w:sz w:val="14"/>
        </w:rPr>
        <w:t>(1</w:t>
      </w:r>
      <w:r>
        <w:rPr>
          <w:rFonts w:ascii="Calibri" w:hAnsi="Calibri"/>
          <w:spacing w:val="4"/>
          <w:w w:val="115"/>
          <w:sz w:val="14"/>
        </w:rPr>
        <w:t xml:space="preserve"> </w:t>
      </w:r>
      <w:r>
        <w:rPr>
          <w:rFonts w:ascii="Calibri" w:hAnsi="Calibri"/>
          <w:w w:val="115"/>
          <w:sz w:val="14"/>
        </w:rPr>
        <w:t>500</w:t>
      </w:r>
      <w:r>
        <w:rPr>
          <w:rFonts w:ascii="Calibri" w:hAnsi="Calibri"/>
          <w:spacing w:val="4"/>
          <w:w w:val="115"/>
          <w:sz w:val="14"/>
        </w:rPr>
        <w:t xml:space="preserve"> </w:t>
      </w:r>
      <w:r>
        <w:rPr>
          <w:rFonts w:ascii="Calibri" w:hAnsi="Calibri"/>
          <w:w w:val="115"/>
          <w:sz w:val="14"/>
        </w:rPr>
        <w:t>litres)</w:t>
      </w:r>
      <w:r>
        <w:rPr>
          <w:rFonts w:ascii="Calibri" w:hAnsi="Calibri"/>
          <w:spacing w:val="4"/>
          <w:w w:val="115"/>
          <w:sz w:val="14"/>
        </w:rPr>
        <w:t xml:space="preserve"> </w:t>
      </w:r>
      <w:r>
        <w:rPr>
          <w:rFonts w:ascii="Calibri" w:hAnsi="Calibri"/>
          <w:w w:val="115"/>
          <w:sz w:val="14"/>
        </w:rPr>
        <w:t>per</w:t>
      </w:r>
      <w:r>
        <w:rPr>
          <w:rFonts w:ascii="Calibri" w:hAnsi="Calibri"/>
          <w:spacing w:val="4"/>
          <w:w w:val="115"/>
          <w:sz w:val="14"/>
        </w:rPr>
        <w:t xml:space="preserve"> </w:t>
      </w:r>
      <w:r>
        <w:rPr>
          <w:rFonts w:ascii="Calibri" w:hAnsi="Calibri"/>
          <w:w w:val="115"/>
          <w:sz w:val="14"/>
        </w:rPr>
        <w:t>day;</w:t>
      </w:r>
      <w:r>
        <w:rPr>
          <w:rFonts w:ascii="Calibri" w:hAnsi="Calibri"/>
          <w:spacing w:val="4"/>
          <w:w w:val="115"/>
          <w:sz w:val="14"/>
        </w:rPr>
        <w:t xml:space="preserve"> </w:t>
      </w:r>
      <w:r>
        <w:rPr>
          <w:rFonts w:ascii="Calibri" w:hAnsi="Calibri"/>
          <w:w w:val="115"/>
          <w:sz w:val="14"/>
        </w:rPr>
        <w:t>15</w:t>
      </w:r>
      <w:r>
        <w:rPr>
          <w:rFonts w:ascii="Calibri" w:hAnsi="Calibri"/>
          <w:spacing w:val="4"/>
          <w:w w:val="115"/>
          <w:sz w:val="14"/>
        </w:rPr>
        <w:t xml:space="preserve"> </w:t>
      </w:r>
      <w:r>
        <w:rPr>
          <w:rFonts w:ascii="Calibri" w:hAnsi="Calibri"/>
          <w:w w:val="115"/>
          <w:sz w:val="14"/>
        </w:rPr>
        <w:t>litre</w:t>
      </w:r>
      <w:r>
        <w:rPr>
          <w:rFonts w:ascii="Calibri" w:hAnsi="Calibri"/>
          <w:spacing w:val="4"/>
          <w:w w:val="115"/>
          <w:sz w:val="14"/>
        </w:rPr>
        <w:t xml:space="preserve"> </w:t>
      </w:r>
      <w:r>
        <w:rPr>
          <w:rFonts w:ascii="Calibri" w:hAnsi="Calibri"/>
          <w:w w:val="115"/>
          <w:sz w:val="14"/>
        </w:rPr>
        <w:t>×</w:t>
      </w:r>
      <w:r>
        <w:rPr>
          <w:rFonts w:ascii="Calibri" w:hAnsi="Calibri"/>
          <w:spacing w:val="4"/>
          <w:w w:val="115"/>
          <w:sz w:val="14"/>
        </w:rPr>
        <w:t xml:space="preserve"> </w:t>
      </w:r>
      <w:r>
        <w:rPr>
          <w:rFonts w:ascii="Calibri" w:hAnsi="Calibri"/>
          <w:w w:val="115"/>
          <w:sz w:val="14"/>
        </w:rPr>
        <w:t>30</w:t>
      </w:r>
      <w:r>
        <w:rPr>
          <w:rFonts w:ascii="Calibri" w:hAnsi="Calibri"/>
          <w:spacing w:val="4"/>
          <w:w w:val="115"/>
          <w:sz w:val="14"/>
        </w:rPr>
        <w:t xml:space="preserve"> </w:t>
      </w:r>
      <w:r>
        <w:rPr>
          <w:rFonts w:ascii="Calibri" w:hAnsi="Calibri"/>
          <w:w w:val="115"/>
          <w:sz w:val="14"/>
        </w:rPr>
        <w:t>days</w:t>
      </w:r>
      <w:r>
        <w:rPr>
          <w:rFonts w:ascii="Calibri" w:hAnsi="Calibri"/>
          <w:spacing w:val="4"/>
          <w:w w:val="115"/>
          <w:sz w:val="14"/>
        </w:rPr>
        <w:t xml:space="preserve"> </w:t>
      </w:r>
      <w:r>
        <w:rPr>
          <w:rFonts w:ascii="Calibri" w:hAnsi="Calibri"/>
          <w:w w:val="115"/>
          <w:sz w:val="14"/>
        </w:rPr>
        <w:t>=</w:t>
      </w:r>
      <w:r>
        <w:rPr>
          <w:rFonts w:ascii="Calibri" w:hAnsi="Calibri"/>
          <w:spacing w:val="4"/>
          <w:w w:val="115"/>
          <w:sz w:val="14"/>
        </w:rPr>
        <w:t xml:space="preserve"> </w:t>
      </w:r>
      <w:r>
        <w:rPr>
          <w:rFonts w:ascii="Calibri" w:hAnsi="Calibri"/>
          <w:w w:val="115"/>
          <w:sz w:val="14"/>
        </w:rPr>
        <w:t>450</w:t>
      </w:r>
      <w:r>
        <w:rPr>
          <w:rFonts w:ascii="Calibri" w:hAnsi="Calibri"/>
          <w:spacing w:val="4"/>
          <w:w w:val="115"/>
          <w:sz w:val="14"/>
        </w:rPr>
        <w:t xml:space="preserve"> </w:t>
      </w:r>
      <w:r>
        <w:rPr>
          <w:rFonts w:ascii="Calibri" w:hAnsi="Calibri"/>
          <w:w w:val="115"/>
          <w:sz w:val="14"/>
        </w:rPr>
        <w:t>litres</w:t>
      </w:r>
      <w:r>
        <w:rPr>
          <w:rFonts w:ascii="Calibri" w:hAnsi="Calibri"/>
          <w:spacing w:val="4"/>
          <w:w w:val="115"/>
          <w:sz w:val="14"/>
        </w:rPr>
        <w:t xml:space="preserve"> </w:t>
      </w:r>
      <w:r>
        <w:rPr>
          <w:rFonts w:ascii="Calibri" w:hAnsi="Calibri"/>
          <w:w w:val="115"/>
          <w:sz w:val="14"/>
        </w:rPr>
        <w:t>per</w:t>
      </w:r>
      <w:r>
        <w:rPr>
          <w:rFonts w:ascii="Calibri" w:hAnsi="Calibri"/>
          <w:spacing w:val="4"/>
          <w:w w:val="115"/>
          <w:sz w:val="14"/>
        </w:rPr>
        <w:t xml:space="preserve"> </w:t>
      </w:r>
      <w:r>
        <w:rPr>
          <w:rFonts w:ascii="Calibri" w:hAnsi="Calibri"/>
          <w:w w:val="115"/>
          <w:sz w:val="14"/>
        </w:rPr>
        <w:t>month.</w:t>
      </w:r>
    </w:p>
    <w:p w:rsidR="00575E51" w:rsidRDefault="00575E51" w:rsidP="00575E51">
      <w:pPr>
        <w:spacing w:before="57"/>
        <w:ind w:left="1167" w:right="297"/>
        <w:rPr>
          <w:rFonts w:ascii="Calibri" w:hAnsi="Calibri"/>
          <w:sz w:val="14"/>
        </w:rPr>
      </w:pPr>
      <w:r>
        <w:rPr>
          <w:rFonts w:ascii="Calibri" w:hAnsi="Calibri"/>
          <w:w w:val="115"/>
          <w:sz w:val="14"/>
        </w:rPr>
        <w:t>Fish feed: 50 g (fish feed) × 3 (media beds) × 30 days = 4.5 kg per  month.</w:t>
      </w:r>
    </w:p>
    <w:p w:rsidR="00575E51" w:rsidRDefault="00575E51" w:rsidP="00575E51">
      <w:pPr>
        <w:spacing w:before="66" w:line="252" w:lineRule="auto"/>
        <w:ind w:left="1167" w:right="7"/>
        <w:rPr>
          <w:rFonts w:ascii="Calibri"/>
          <w:sz w:val="14"/>
        </w:rPr>
      </w:pPr>
      <w:r>
        <w:rPr>
          <w:rFonts w:ascii="Calibri"/>
          <w:w w:val="115"/>
          <w:sz w:val="14"/>
        </w:rPr>
        <w:t>Miscellaneous: The total figure of USD3 per month is an estimated price for the use of acid or base, water test kits and liquid fertilizer, if necessary.</w:t>
      </w:r>
    </w:p>
    <w:p w:rsidR="00575E51" w:rsidRDefault="00575E51" w:rsidP="00575E51">
      <w:pPr>
        <w:pStyle w:val="BodyText"/>
        <w:rPr>
          <w:rFonts w:ascii="Calibri"/>
          <w:sz w:val="14"/>
        </w:rPr>
      </w:pPr>
    </w:p>
    <w:p w:rsidR="00575E51" w:rsidRDefault="00575E51" w:rsidP="00575E51">
      <w:pPr>
        <w:pStyle w:val="BodyText"/>
        <w:rPr>
          <w:rFonts w:ascii="Calibri"/>
          <w:sz w:val="12"/>
        </w:rPr>
      </w:pPr>
    </w:p>
    <w:p w:rsidR="00575E51" w:rsidRDefault="00575E51" w:rsidP="00575E51">
      <w:pPr>
        <w:ind w:left="1167" w:right="297"/>
        <w:rPr>
          <w:rFonts w:ascii="Calibri"/>
          <w:sz w:val="16"/>
        </w:rPr>
      </w:pPr>
      <w:r>
        <w:rPr>
          <w:rFonts w:ascii="Calibri"/>
          <w:w w:val="115"/>
          <w:sz w:val="16"/>
        </w:rPr>
        <w:t>TABLE A7.3</w:t>
      </w:r>
    </w:p>
    <w:p w:rsidR="00575E51" w:rsidRDefault="00575E51" w:rsidP="00575E51">
      <w:pPr>
        <w:spacing w:before="15" w:line="254" w:lineRule="auto"/>
        <w:ind w:left="1167" w:right="7"/>
        <w:rPr>
          <w:rFonts w:ascii="Calibri"/>
          <w:b/>
          <w:sz w:val="17"/>
        </w:rPr>
      </w:pPr>
      <w:r>
        <w:rPr>
          <w:rFonts w:ascii="Calibri"/>
          <w:b/>
          <w:w w:val="115"/>
          <w:sz w:val="17"/>
        </w:rPr>
        <w:t>Expected yearly production of vegetables and fish from a small-scale aquaponic unit, including estimated yearly revenues</w:t>
      </w:r>
    </w:p>
    <w:p w:rsidR="00575E51" w:rsidRDefault="00575E51" w:rsidP="00575E51">
      <w:pPr>
        <w:pStyle w:val="BodyText"/>
        <w:spacing w:before="5"/>
        <w:rPr>
          <w:rFonts w:ascii="Calibri"/>
          <w:b/>
          <w:sz w:val="6"/>
        </w:rPr>
      </w:pPr>
    </w:p>
    <w:tbl>
      <w:tblPr>
        <w:tblW w:w="0" w:type="auto"/>
        <w:tblInd w:w="1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1"/>
        <w:gridCol w:w="1428"/>
        <w:gridCol w:w="1342"/>
        <w:gridCol w:w="1526"/>
        <w:gridCol w:w="1428"/>
      </w:tblGrid>
      <w:tr w:rsidR="00575E51" w:rsidTr="00866D14">
        <w:trPr>
          <w:trHeight w:hRule="exact" w:val="424"/>
        </w:trPr>
        <w:tc>
          <w:tcPr>
            <w:tcW w:w="1981" w:type="dxa"/>
            <w:tcBorders>
              <w:left w:val="nil"/>
            </w:tcBorders>
            <w:shd w:val="clear" w:color="auto" w:fill="E3F3F3"/>
          </w:tcPr>
          <w:p w:rsidR="00575E51" w:rsidRDefault="00575E51" w:rsidP="00866D14">
            <w:pPr>
              <w:pStyle w:val="TableParagraph"/>
              <w:spacing w:before="6"/>
              <w:rPr>
                <w:b/>
                <w:sz w:val="10"/>
              </w:rPr>
            </w:pPr>
          </w:p>
          <w:p w:rsidR="00575E51" w:rsidRDefault="00575E51" w:rsidP="00866D14">
            <w:pPr>
              <w:pStyle w:val="TableParagraph"/>
              <w:spacing w:before="0"/>
              <w:ind w:left="107"/>
              <w:rPr>
                <w:b/>
                <w:sz w:val="14"/>
              </w:rPr>
            </w:pPr>
            <w:r>
              <w:rPr>
                <w:b/>
                <w:w w:val="115"/>
                <w:sz w:val="14"/>
              </w:rPr>
              <w:t>Output</w:t>
            </w:r>
          </w:p>
        </w:tc>
        <w:tc>
          <w:tcPr>
            <w:tcW w:w="1428" w:type="dxa"/>
            <w:shd w:val="clear" w:color="auto" w:fill="E3F3F3"/>
          </w:tcPr>
          <w:p w:rsidR="00575E51" w:rsidRDefault="00575E51" w:rsidP="00866D14">
            <w:pPr>
              <w:pStyle w:val="TableParagraph"/>
              <w:spacing w:before="54" w:line="160" w:lineRule="exact"/>
              <w:ind w:left="384" w:right="342" w:hanging="30"/>
              <w:rPr>
                <w:b/>
                <w:sz w:val="14"/>
              </w:rPr>
            </w:pPr>
            <w:r>
              <w:rPr>
                <w:b/>
                <w:w w:val="110"/>
                <w:sz w:val="14"/>
              </w:rPr>
              <w:t>Production (quantity)</w:t>
            </w:r>
          </w:p>
        </w:tc>
        <w:tc>
          <w:tcPr>
            <w:tcW w:w="1342" w:type="dxa"/>
            <w:shd w:val="clear" w:color="auto" w:fill="E3F3F3"/>
          </w:tcPr>
          <w:p w:rsidR="00575E51" w:rsidRDefault="00575E51" w:rsidP="00866D14">
            <w:pPr>
              <w:pStyle w:val="TableParagraph"/>
              <w:spacing w:before="6"/>
              <w:rPr>
                <w:b/>
                <w:sz w:val="10"/>
              </w:rPr>
            </w:pPr>
          </w:p>
          <w:p w:rsidR="00575E51" w:rsidRDefault="00575E51" w:rsidP="00866D14">
            <w:pPr>
              <w:pStyle w:val="TableParagraph"/>
              <w:spacing w:before="0"/>
              <w:ind w:right="526"/>
              <w:jc w:val="right"/>
              <w:rPr>
                <w:b/>
                <w:sz w:val="14"/>
              </w:rPr>
            </w:pPr>
            <w:r>
              <w:rPr>
                <w:b/>
                <w:w w:val="110"/>
                <w:sz w:val="14"/>
              </w:rPr>
              <w:t>Unit</w:t>
            </w:r>
          </w:p>
        </w:tc>
        <w:tc>
          <w:tcPr>
            <w:tcW w:w="1526" w:type="dxa"/>
            <w:shd w:val="clear" w:color="auto" w:fill="E3F3F3"/>
          </w:tcPr>
          <w:p w:rsidR="00575E51" w:rsidRDefault="00575E51" w:rsidP="00866D14">
            <w:pPr>
              <w:pStyle w:val="TableParagraph"/>
              <w:spacing w:before="54" w:line="160" w:lineRule="exact"/>
              <w:ind w:left="574" w:hanging="448"/>
              <w:rPr>
                <w:b/>
                <w:sz w:val="14"/>
              </w:rPr>
            </w:pPr>
            <w:r>
              <w:rPr>
                <w:b/>
                <w:w w:val="110"/>
                <w:sz w:val="14"/>
              </w:rPr>
              <w:t>Unit market value* (USD)</w:t>
            </w:r>
          </w:p>
        </w:tc>
        <w:tc>
          <w:tcPr>
            <w:tcW w:w="1428" w:type="dxa"/>
            <w:tcBorders>
              <w:right w:val="nil"/>
            </w:tcBorders>
            <w:shd w:val="clear" w:color="auto" w:fill="E3F3F3"/>
          </w:tcPr>
          <w:p w:rsidR="00575E51" w:rsidRDefault="00575E51" w:rsidP="00866D14">
            <w:pPr>
              <w:pStyle w:val="TableParagraph"/>
              <w:spacing w:before="54" w:line="160" w:lineRule="exact"/>
              <w:ind w:left="524" w:right="525" w:hanging="1"/>
              <w:jc w:val="center"/>
              <w:rPr>
                <w:b/>
                <w:sz w:val="14"/>
              </w:rPr>
            </w:pPr>
            <w:r>
              <w:rPr>
                <w:b/>
                <w:w w:val="110"/>
                <w:sz w:val="14"/>
              </w:rPr>
              <w:t>Total (USD)</w:t>
            </w:r>
          </w:p>
        </w:tc>
      </w:tr>
      <w:tr w:rsidR="00575E51" w:rsidTr="00866D14">
        <w:trPr>
          <w:trHeight w:hRule="exact" w:val="271"/>
        </w:trPr>
        <w:tc>
          <w:tcPr>
            <w:tcW w:w="1981" w:type="dxa"/>
            <w:tcBorders>
              <w:left w:val="nil"/>
            </w:tcBorders>
          </w:tcPr>
          <w:p w:rsidR="00575E51" w:rsidRDefault="00575E51" w:rsidP="00866D14">
            <w:pPr>
              <w:pStyle w:val="TableParagraph"/>
              <w:ind w:left="107"/>
              <w:rPr>
                <w:sz w:val="15"/>
              </w:rPr>
            </w:pPr>
            <w:r>
              <w:rPr>
                <w:w w:val="115"/>
                <w:sz w:val="15"/>
              </w:rPr>
              <w:t>Lettuce</w:t>
            </w:r>
          </w:p>
        </w:tc>
        <w:tc>
          <w:tcPr>
            <w:tcW w:w="1428" w:type="dxa"/>
          </w:tcPr>
          <w:p w:rsidR="00575E51" w:rsidRDefault="00575E51" w:rsidP="00866D14">
            <w:pPr>
              <w:pStyle w:val="TableParagraph"/>
              <w:ind w:right="613"/>
              <w:jc w:val="right"/>
              <w:rPr>
                <w:sz w:val="15"/>
              </w:rPr>
            </w:pPr>
            <w:r>
              <w:rPr>
                <w:w w:val="110"/>
                <w:sz w:val="15"/>
              </w:rPr>
              <w:t>360</w:t>
            </w:r>
          </w:p>
        </w:tc>
        <w:tc>
          <w:tcPr>
            <w:tcW w:w="1342" w:type="dxa"/>
          </w:tcPr>
          <w:p w:rsidR="00575E51" w:rsidRDefault="00575E51" w:rsidP="00866D14">
            <w:pPr>
              <w:pStyle w:val="TableParagraph"/>
              <w:ind w:right="491"/>
              <w:jc w:val="right"/>
              <w:rPr>
                <w:sz w:val="15"/>
              </w:rPr>
            </w:pPr>
            <w:r>
              <w:rPr>
                <w:w w:val="115"/>
                <w:sz w:val="15"/>
              </w:rPr>
              <w:t>head</w:t>
            </w:r>
          </w:p>
        </w:tc>
        <w:tc>
          <w:tcPr>
            <w:tcW w:w="1526" w:type="dxa"/>
          </w:tcPr>
          <w:p w:rsidR="00575E51" w:rsidRDefault="00575E51" w:rsidP="00866D14">
            <w:pPr>
              <w:pStyle w:val="TableParagraph"/>
              <w:ind w:right="557"/>
              <w:jc w:val="right"/>
              <w:rPr>
                <w:sz w:val="15"/>
              </w:rPr>
            </w:pPr>
            <w:r>
              <w:rPr>
                <w:w w:val="105"/>
                <w:sz w:val="15"/>
              </w:rPr>
              <w:t>1.20</w:t>
            </w:r>
          </w:p>
        </w:tc>
        <w:tc>
          <w:tcPr>
            <w:tcW w:w="1428" w:type="dxa"/>
            <w:tcBorders>
              <w:right w:val="nil"/>
            </w:tcBorders>
          </w:tcPr>
          <w:p w:rsidR="00575E51" w:rsidRDefault="00575E51" w:rsidP="00866D14">
            <w:pPr>
              <w:pStyle w:val="TableParagraph"/>
              <w:ind w:left="440" w:right="481"/>
              <w:jc w:val="center"/>
              <w:rPr>
                <w:sz w:val="15"/>
              </w:rPr>
            </w:pPr>
            <w:r>
              <w:rPr>
                <w:w w:val="110"/>
                <w:sz w:val="15"/>
              </w:rPr>
              <w:t>432.00</w:t>
            </w:r>
          </w:p>
        </w:tc>
      </w:tr>
      <w:tr w:rsidR="00575E51" w:rsidTr="00866D14">
        <w:trPr>
          <w:trHeight w:hRule="exact" w:val="271"/>
        </w:trPr>
        <w:tc>
          <w:tcPr>
            <w:tcW w:w="1981" w:type="dxa"/>
            <w:tcBorders>
              <w:left w:val="nil"/>
            </w:tcBorders>
          </w:tcPr>
          <w:p w:rsidR="00575E51" w:rsidRDefault="00575E51" w:rsidP="00866D14">
            <w:pPr>
              <w:pStyle w:val="TableParagraph"/>
              <w:ind w:left="107"/>
              <w:rPr>
                <w:sz w:val="15"/>
              </w:rPr>
            </w:pPr>
            <w:r>
              <w:rPr>
                <w:w w:val="115"/>
                <w:sz w:val="15"/>
              </w:rPr>
              <w:t>Tomatoes</w:t>
            </w:r>
          </w:p>
        </w:tc>
        <w:tc>
          <w:tcPr>
            <w:tcW w:w="1428" w:type="dxa"/>
          </w:tcPr>
          <w:p w:rsidR="00575E51" w:rsidRDefault="00575E51" w:rsidP="00866D14">
            <w:pPr>
              <w:pStyle w:val="TableParagraph"/>
              <w:ind w:right="613"/>
              <w:jc w:val="right"/>
              <w:rPr>
                <w:sz w:val="15"/>
              </w:rPr>
            </w:pPr>
            <w:r>
              <w:rPr>
                <w:w w:val="105"/>
                <w:sz w:val="15"/>
              </w:rPr>
              <w:t>54</w:t>
            </w:r>
          </w:p>
        </w:tc>
        <w:tc>
          <w:tcPr>
            <w:tcW w:w="1342" w:type="dxa"/>
          </w:tcPr>
          <w:p w:rsidR="00575E51" w:rsidRDefault="00575E51" w:rsidP="00866D14">
            <w:pPr>
              <w:pStyle w:val="TableParagraph"/>
              <w:ind w:right="579"/>
              <w:jc w:val="right"/>
              <w:rPr>
                <w:sz w:val="15"/>
              </w:rPr>
            </w:pPr>
            <w:r>
              <w:rPr>
                <w:w w:val="125"/>
                <w:sz w:val="15"/>
              </w:rPr>
              <w:t>kg</w:t>
            </w:r>
          </w:p>
        </w:tc>
        <w:tc>
          <w:tcPr>
            <w:tcW w:w="1526" w:type="dxa"/>
          </w:tcPr>
          <w:p w:rsidR="00575E51" w:rsidRDefault="00575E51" w:rsidP="00866D14">
            <w:pPr>
              <w:pStyle w:val="TableParagraph"/>
              <w:ind w:right="557"/>
              <w:jc w:val="right"/>
              <w:rPr>
                <w:sz w:val="15"/>
              </w:rPr>
            </w:pPr>
            <w:r>
              <w:rPr>
                <w:w w:val="105"/>
                <w:sz w:val="15"/>
              </w:rPr>
              <w:t>1.60</w:t>
            </w:r>
          </w:p>
        </w:tc>
        <w:tc>
          <w:tcPr>
            <w:tcW w:w="1428" w:type="dxa"/>
            <w:tcBorders>
              <w:right w:val="nil"/>
            </w:tcBorders>
          </w:tcPr>
          <w:p w:rsidR="00575E51" w:rsidRDefault="00575E51" w:rsidP="00866D14">
            <w:pPr>
              <w:pStyle w:val="TableParagraph"/>
              <w:ind w:left="442" w:right="402"/>
              <w:jc w:val="center"/>
              <w:rPr>
                <w:sz w:val="15"/>
              </w:rPr>
            </w:pPr>
            <w:r>
              <w:rPr>
                <w:w w:val="110"/>
                <w:sz w:val="15"/>
              </w:rPr>
              <w:t>86.40</w:t>
            </w:r>
          </w:p>
        </w:tc>
      </w:tr>
      <w:tr w:rsidR="00575E51" w:rsidTr="00866D14">
        <w:trPr>
          <w:trHeight w:hRule="exact" w:val="271"/>
        </w:trPr>
        <w:tc>
          <w:tcPr>
            <w:tcW w:w="1981" w:type="dxa"/>
            <w:tcBorders>
              <w:left w:val="nil"/>
            </w:tcBorders>
          </w:tcPr>
          <w:p w:rsidR="00575E51" w:rsidRDefault="00575E51" w:rsidP="00866D14">
            <w:pPr>
              <w:pStyle w:val="TableParagraph"/>
              <w:ind w:left="107"/>
              <w:rPr>
                <w:sz w:val="15"/>
              </w:rPr>
            </w:pPr>
            <w:r>
              <w:rPr>
                <w:w w:val="110"/>
                <w:sz w:val="15"/>
              </w:rPr>
              <w:t>Fish</w:t>
            </w:r>
          </w:p>
        </w:tc>
        <w:tc>
          <w:tcPr>
            <w:tcW w:w="1428" w:type="dxa"/>
          </w:tcPr>
          <w:p w:rsidR="00575E51" w:rsidRDefault="00575E51" w:rsidP="00866D14">
            <w:pPr>
              <w:pStyle w:val="TableParagraph"/>
              <w:ind w:right="613"/>
              <w:jc w:val="right"/>
              <w:rPr>
                <w:sz w:val="15"/>
              </w:rPr>
            </w:pPr>
            <w:r>
              <w:rPr>
                <w:w w:val="105"/>
                <w:sz w:val="15"/>
              </w:rPr>
              <w:t>30</w:t>
            </w:r>
          </w:p>
        </w:tc>
        <w:tc>
          <w:tcPr>
            <w:tcW w:w="1342" w:type="dxa"/>
          </w:tcPr>
          <w:p w:rsidR="00575E51" w:rsidRDefault="00575E51" w:rsidP="00866D14">
            <w:pPr>
              <w:pStyle w:val="TableParagraph"/>
              <w:ind w:right="579"/>
              <w:jc w:val="right"/>
              <w:rPr>
                <w:sz w:val="15"/>
              </w:rPr>
            </w:pPr>
            <w:r>
              <w:rPr>
                <w:w w:val="125"/>
                <w:sz w:val="15"/>
              </w:rPr>
              <w:t>kg</w:t>
            </w:r>
          </w:p>
        </w:tc>
        <w:tc>
          <w:tcPr>
            <w:tcW w:w="1526" w:type="dxa"/>
          </w:tcPr>
          <w:p w:rsidR="00575E51" w:rsidRDefault="00575E51" w:rsidP="00866D14">
            <w:pPr>
              <w:pStyle w:val="TableParagraph"/>
              <w:ind w:right="557"/>
              <w:jc w:val="right"/>
              <w:rPr>
                <w:sz w:val="15"/>
              </w:rPr>
            </w:pPr>
            <w:r>
              <w:rPr>
                <w:w w:val="105"/>
                <w:sz w:val="15"/>
              </w:rPr>
              <w:t>8.00</w:t>
            </w:r>
          </w:p>
        </w:tc>
        <w:tc>
          <w:tcPr>
            <w:tcW w:w="1428" w:type="dxa"/>
            <w:tcBorders>
              <w:right w:val="nil"/>
            </w:tcBorders>
          </w:tcPr>
          <w:p w:rsidR="00575E51" w:rsidRDefault="00575E51" w:rsidP="00866D14">
            <w:pPr>
              <w:pStyle w:val="TableParagraph"/>
              <w:ind w:left="440" w:right="481"/>
              <w:jc w:val="center"/>
              <w:rPr>
                <w:sz w:val="15"/>
              </w:rPr>
            </w:pPr>
            <w:r>
              <w:rPr>
                <w:w w:val="110"/>
                <w:sz w:val="15"/>
              </w:rPr>
              <w:t>240.00</w:t>
            </w:r>
          </w:p>
        </w:tc>
      </w:tr>
      <w:tr w:rsidR="00575E51" w:rsidTr="00866D14">
        <w:trPr>
          <w:trHeight w:hRule="exact" w:val="264"/>
        </w:trPr>
        <w:tc>
          <w:tcPr>
            <w:tcW w:w="1981" w:type="dxa"/>
            <w:tcBorders>
              <w:left w:val="nil"/>
            </w:tcBorders>
          </w:tcPr>
          <w:p w:rsidR="00575E51" w:rsidRDefault="00575E51" w:rsidP="00866D14">
            <w:pPr>
              <w:pStyle w:val="TableParagraph"/>
              <w:spacing w:before="48"/>
              <w:ind w:left="107"/>
              <w:rPr>
                <w:b/>
                <w:sz w:val="14"/>
              </w:rPr>
            </w:pPr>
            <w:r>
              <w:rPr>
                <w:b/>
                <w:w w:val="115"/>
                <w:sz w:val="14"/>
              </w:rPr>
              <w:t>Total</w:t>
            </w:r>
          </w:p>
        </w:tc>
        <w:tc>
          <w:tcPr>
            <w:tcW w:w="4296" w:type="dxa"/>
            <w:gridSpan w:val="3"/>
          </w:tcPr>
          <w:p w:rsidR="00575E51" w:rsidRDefault="00575E51" w:rsidP="00866D14"/>
        </w:tc>
        <w:tc>
          <w:tcPr>
            <w:tcW w:w="1428" w:type="dxa"/>
            <w:tcBorders>
              <w:right w:val="nil"/>
            </w:tcBorders>
          </w:tcPr>
          <w:p w:rsidR="00575E51" w:rsidRDefault="00575E51" w:rsidP="00866D14">
            <w:pPr>
              <w:pStyle w:val="TableParagraph"/>
              <w:spacing w:before="48"/>
              <w:ind w:left="442" w:right="452"/>
              <w:jc w:val="center"/>
              <w:rPr>
                <w:b/>
                <w:sz w:val="14"/>
              </w:rPr>
            </w:pPr>
            <w:r>
              <w:rPr>
                <w:b/>
                <w:w w:val="110"/>
                <w:sz w:val="14"/>
              </w:rPr>
              <w:t>758.40</w:t>
            </w:r>
          </w:p>
        </w:tc>
      </w:tr>
    </w:tbl>
    <w:p w:rsidR="00575E51" w:rsidRDefault="00575E51" w:rsidP="00575E51">
      <w:pPr>
        <w:spacing w:before="52"/>
        <w:ind w:left="1167"/>
        <w:jc w:val="both"/>
        <w:rPr>
          <w:rFonts w:ascii="Calibri"/>
          <w:i/>
          <w:sz w:val="14"/>
        </w:rPr>
      </w:pPr>
      <w:r>
        <w:rPr>
          <w:rFonts w:ascii="Calibri"/>
          <w:i/>
          <w:w w:val="110"/>
          <w:sz w:val="14"/>
        </w:rPr>
        <w:t>Notes:</w:t>
      </w:r>
    </w:p>
    <w:p w:rsidR="00575E51" w:rsidRDefault="00575E51" w:rsidP="00575E51">
      <w:pPr>
        <w:spacing w:before="9" w:line="252" w:lineRule="auto"/>
        <w:ind w:left="1337" w:right="104" w:hanging="171"/>
        <w:jc w:val="both"/>
        <w:rPr>
          <w:rFonts w:ascii="Calibri"/>
          <w:sz w:val="14"/>
        </w:rPr>
      </w:pPr>
      <w:r>
        <w:rPr>
          <w:rFonts w:ascii="Calibri"/>
          <w:w w:val="115"/>
          <w:sz w:val="14"/>
        </w:rPr>
        <w:t>* Unit market values: The prices are taken from an Israeli market price comparison website (www.zap.co.il) and that of the Israeli Plants Production and Marketing Board (www.plants.org.il). Both websites accessed on 17 September 2013.</w:t>
      </w:r>
    </w:p>
    <w:p w:rsidR="00575E51" w:rsidRDefault="00575E51" w:rsidP="00575E51">
      <w:pPr>
        <w:spacing w:before="55" w:line="252" w:lineRule="auto"/>
        <w:ind w:left="1167" w:right="105" w:hanging="1"/>
        <w:jc w:val="both"/>
        <w:rPr>
          <w:rFonts w:ascii="Calibri" w:hAnsi="Calibri"/>
          <w:sz w:val="14"/>
        </w:rPr>
      </w:pPr>
      <w:r>
        <w:rPr>
          <w:rFonts w:ascii="Calibri" w:hAnsi="Calibri"/>
          <w:w w:val="115"/>
          <w:sz w:val="14"/>
        </w:rPr>
        <w:t>Average lettuce heads per year: 1.5 m</w:t>
      </w:r>
      <w:r>
        <w:rPr>
          <w:rFonts w:ascii="Calibri" w:hAnsi="Calibri"/>
          <w:w w:val="115"/>
          <w:position w:val="5"/>
          <w:sz w:val="9"/>
        </w:rPr>
        <w:t xml:space="preserve">2 </w:t>
      </w:r>
      <w:r>
        <w:rPr>
          <w:rFonts w:ascii="Calibri" w:hAnsi="Calibri"/>
          <w:w w:val="115"/>
          <w:sz w:val="14"/>
        </w:rPr>
        <w:t>(50 % of growing space) × 20 heads/m</w:t>
      </w:r>
      <w:r>
        <w:rPr>
          <w:rFonts w:ascii="Calibri" w:hAnsi="Calibri"/>
          <w:w w:val="115"/>
          <w:position w:val="5"/>
          <w:sz w:val="9"/>
        </w:rPr>
        <w:t xml:space="preserve">2 </w:t>
      </w:r>
      <w:r>
        <w:rPr>
          <w:rFonts w:ascii="Calibri" w:hAnsi="Calibri"/>
          <w:w w:val="115"/>
          <w:sz w:val="14"/>
        </w:rPr>
        <w:t>per month (1.5 x 20) = 30 heads per month. Production per year: 30 × 12 = 360 lettuce heads.</w:t>
      </w:r>
    </w:p>
    <w:p w:rsidR="00575E51" w:rsidRDefault="00575E51" w:rsidP="00575E51">
      <w:pPr>
        <w:spacing w:before="55" w:line="252" w:lineRule="auto"/>
        <w:ind w:left="1167" w:right="105"/>
        <w:jc w:val="both"/>
        <w:rPr>
          <w:rFonts w:ascii="Calibri" w:hAnsi="Calibri"/>
          <w:sz w:val="14"/>
        </w:rPr>
      </w:pPr>
      <w:r>
        <w:rPr>
          <w:rFonts w:ascii="Calibri" w:hAnsi="Calibri"/>
          <w:w w:val="115"/>
          <w:sz w:val="14"/>
        </w:rPr>
        <w:t>Average tomato yield per year: 1.5 m</w:t>
      </w:r>
      <w:r>
        <w:rPr>
          <w:rFonts w:ascii="Calibri" w:hAnsi="Calibri"/>
          <w:w w:val="115"/>
          <w:position w:val="5"/>
          <w:sz w:val="9"/>
        </w:rPr>
        <w:t xml:space="preserve">2 </w:t>
      </w:r>
      <w:r>
        <w:rPr>
          <w:rFonts w:ascii="Calibri" w:hAnsi="Calibri"/>
          <w:w w:val="115"/>
          <w:sz w:val="14"/>
        </w:rPr>
        <w:t>(50 % of growing space) × 3 kg/m</w:t>
      </w:r>
      <w:r>
        <w:rPr>
          <w:rFonts w:ascii="Calibri" w:hAnsi="Calibri"/>
          <w:w w:val="115"/>
          <w:position w:val="5"/>
          <w:sz w:val="9"/>
        </w:rPr>
        <w:t xml:space="preserve">2 </w:t>
      </w:r>
      <w:r>
        <w:rPr>
          <w:rFonts w:ascii="Calibri" w:hAnsi="Calibri"/>
          <w:w w:val="115"/>
          <w:sz w:val="14"/>
        </w:rPr>
        <w:t>of tomatoes per month (1.5 x 3) = 4.5 kg per month. Per year: 4.5 × 12 = 54 kg.</w:t>
      </w:r>
    </w:p>
    <w:p w:rsidR="00575E51" w:rsidRDefault="00575E51" w:rsidP="00575E51">
      <w:pPr>
        <w:spacing w:before="57" w:line="252" w:lineRule="auto"/>
        <w:ind w:left="1167" w:right="105"/>
        <w:jc w:val="both"/>
        <w:rPr>
          <w:rFonts w:ascii="Calibri" w:hAnsi="Calibri"/>
          <w:sz w:val="14"/>
        </w:rPr>
      </w:pPr>
      <w:r>
        <w:rPr>
          <w:rFonts w:ascii="Calibri" w:hAnsi="Calibri"/>
          <w:w w:val="115"/>
          <w:sz w:val="14"/>
        </w:rPr>
        <w:t>Average fish yield per year: Fingerlings stocked at 50 g of body weight. Adults harvested at 500 g after 6–8 months. Average fish stock density between 10–20 kg/m</w:t>
      </w:r>
      <w:r>
        <w:rPr>
          <w:rFonts w:ascii="Calibri" w:hAnsi="Calibri"/>
          <w:w w:val="115"/>
          <w:position w:val="5"/>
          <w:sz w:val="9"/>
        </w:rPr>
        <w:t xml:space="preserve">3 </w:t>
      </w:r>
      <w:r>
        <w:rPr>
          <w:rFonts w:ascii="Calibri" w:hAnsi="Calibri"/>
          <w:w w:val="115"/>
          <w:sz w:val="14"/>
        </w:rPr>
        <w:t>in the 1 000 litre fish tank. Average harvest of 5 fish per month equivalent to 2.5 kg/month, 30 kg/year.</w:t>
      </w:r>
    </w:p>
    <w:p w:rsidR="00575E51" w:rsidRDefault="00575E51" w:rsidP="00575E51">
      <w:pPr>
        <w:spacing w:line="252" w:lineRule="auto"/>
        <w:jc w:val="both"/>
        <w:rPr>
          <w:rFonts w:ascii="Calibri" w:hAnsi="Calibri"/>
          <w:sz w:val="14"/>
        </w:rPr>
        <w:sectPr w:rsidR="00575E51">
          <w:pgSz w:w="11910" w:h="16840"/>
          <w:pgMar w:top="1020" w:right="1480" w:bottom="280" w:left="1440" w:header="793" w:footer="0" w:gutter="0"/>
          <w:cols w:space="720"/>
        </w:sectPr>
      </w:pPr>
    </w:p>
    <w:p w:rsidR="00575E51" w:rsidRDefault="00575E51" w:rsidP="00575E51">
      <w:pPr>
        <w:pStyle w:val="BodyText"/>
        <w:rPr>
          <w:rFonts w:ascii="Calibri"/>
          <w:sz w:val="20"/>
        </w:rPr>
      </w:pPr>
    </w:p>
    <w:p w:rsidR="00575E51" w:rsidRDefault="00575E51" w:rsidP="00575E51">
      <w:pPr>
        <w:pStyle w:val="BodyText"/>
        <w:rPr>
          <w:rFonts w:ascii="Calibri"/>
          <w:sz w:val="20"/>
        </w:rPr>
      </w:pPr>
    </w:p>
    <w:p w:rsidR="00575E51" w:rsidRDefault="00575E51" w:rsidP="00575E51">
      <w:pPr>
        <w:pStyle w:val="BodyText"/>
        <w:spacing w:before="1"/>
        <w:rPr>
          <w:rFonts w:ascii="Calibri"/>
          <w:sz w:val="22"/>
        </w:rPr>
      </w:pPr>
    </w:p>
    <w:p w:rsidR="00575E51" w:rsidRDefault="00575E51" w:rsidP="00575E51">
      <w:pPr>
        <w:pStyle w:val="BodyText"/>
        <w:spacing w:before="44" w:line="249" w:lineRule="auto"/>
        <w:ind w:left="107" w:right="1185"/>
        <w:jc w:val="both"/>
      </w:pPr>
      <w:r>
        <w:rPr>
          <w:rFonts w:ascii="Palatino Linotype" w:hAnsi="Palatino Linotype"/>
          <w:b/>
        </w:rPr>
        <w:t>Important</w:t>
      </w:r>
      <w:r>
        <w:t>:</w:t>
      </w:r>
      <w:r>
        <w:rPr>
          <w:spacing w:val="-21"/>
        </w:rPr>
        <w:t xml:space="preserve"> </w:t>
      </w:r>
      <w:r>
        <w:t>The</w:t>
      </w:r>
      <w:r>
        <w:rPr>
          <w:spacing w:val="-21"/>
        </w:rPr>
        <w:t xml:space="preserve"> </w:t>
      </w:r>
      <w:r>
        <w:t>calculations</w:t>
      </w:r>
      <w:r>
        <w:rPr>
          <w:spacing w:val="-21"/>
        </w:rPr>
        <w:t xml:space="preserve"> </w:t>
      </w:r>
      <w:r>
        <w:t>are</w:t>
      </w:r>
      <w:r>
        <w:rPr>
          <w:spacing w:val="-21"/>
        </w:rPr>
        <w:t xml:space="preserve"> </w:t>
      </w:r>
      <w:r>
        <w:t>based</w:t>
      </w:r>
      <w:r>
        <w:rPr>
          <w:spacing w:val="-21"/>
        </w:rPr>
        <w:t xml:space="preserve"> </w:t>
      </w:r>
      <w:r>
        <w:t>on</w:t>
      </w:r>
      <w:r>
        <w:rPr>
          <w:spacing w:val="-21"/>
        </w:rPr>
        <w:t xml:space="preserve"> </w:t>
      </w:r>
      <w:r>
        <w:t>a</w:t>
      </w:r>
      <w:r>
        <w:rPr>
          <w:spacing w:val="-21"/>
        </w:rPr>
        <w:t xml:space="preserve"> </w:t>
      </w:r>
      <w:r>
        <w:t>staggered</w:t>
      </w:r>
      <w:r>
        <w:rPr>
          <w:spacing w:val="-21"/>
        </w:rPr>
        <w:t xml:space="preserve"> </w:t>
      </w:r>
      <w:r>
        <w:t>production</w:t>
      </w:r>
      <w:r>
        <w:rPr>
          <w:spacing w:val="-21"/>
        </w:rPr>
        <w:t xml:space="preserve"> </w:t>
      </w:r>
      <w:r>
        <w:t>of</w:t>
      </w:r>
      <w:r>
        <w:rPr>
          <w:spacing w:val="-21"/>
        </w:rPr>
        <w:t xml:space="preserve"> </w:t>
      </w:r>
      <w:r>
        <w:t>fish</w:t>
      </w:r>
      <w:r>
        <w:rPr>
          <w:spacing w:val="-21"/>
        </w:rPr>
        <w:t xml:space="preserve"> </w:t>
      </w:r>
      <w:r>
        <w:t>in</w:t>
      </w:r>
      <w:r>
        <w:rPr>
          <w:spacing w:val="-21"/>
        </w:rPr>
        <w:t xml:space="preserve"> </w:t>
      </w:r>
      <w:r>
        <w:t>an</w:t>
      </w:r>
      <w:r>
        <w:rPr>
          <w:spacing w:val="-21"/>
        </w:rPr>
        <w:t xml:space="preserve"> </w:t>
      </w:r>
      <w:r>
        <w:t>established aquaponic system. The expected production is lower from a newly established system stocked only with juvenile fish of the same age. For new systems, it is thus suggested that fingerlings be stocked in greater numbers in order to supply enough nutrients to plants. In this case, harvesting of the first fish can start from the third or fourth month onward</w:t>
      </w:r>
      <w:r>
        <w:rPr>
          <w:spacing w:val="-4"/>
        </w:rPr>
        <w:t xml:space="preserve"> </w:t>
      </w:r>
      <w:r>
        <w:t>(with</w:t>
      </w:r>
      <w:r>
        <w:rPr>
          <w:spacing w:val="-4"/>
        </w:rPr>
        <w:t xml:space="preserve"> </w:t>
      </w:r>
      <w:r>
        <w:t>fish</w:t>
      </w:r>
      <w:r>
        <w:rPr>
          <w:spacing w:val="-4"/>
        </w:rPr>
        <w:t xml:space="preserve"> </w:t>
      </w:r>
      <w:r>
        <w:t>at</w:t>
      </w:r>
      <w:r>
        <w:rPr>
          <w:spacing w:val="-4"/>
        </w:rPr>
        <w:t xml:space="preserve"> </w:t>
      </w:r>
      <w:r>
        <w:t>150–250</w:t>
      </w:r>
      <w:r>
        <w:rPr>
          <w:spacing w:val="-4"/>
        </w:rPr>
        <w:t xml:space="preserve"> </w:t>
      </w:r>
      <w:r>
        <w:t>g)</w:t>
      </w:r>
      <w:r>
        <w:rPr>
          <w:spacing w:val="-4"/>
        </w:rPr>
        <w:t xml:space="preserve"> </w:t>
      </w:r>
      <w:r>
        <w:t>in</w:t>
      </w:r>
      <w:r>
        <w:rPr>
          <w:spacing w:val="-4"/>
        </w:rPr>
        <w:t xml:space="preserve"> </w:t>
      </w:r>
      <w:r>
        <w:t>order</w:t>
      </w:r>
      <w:r>
        <w:rPr>
          <w:spacing w:val="-4"/>
        </w:rPr>
        <w:t xml:space="preserve"> </w:t>
      </w:r>
      <w:r>
        <w:t>to</w:t>
      </w:r>
      <w:r>
        <w:rPr>
          <w:spacing w:val="-4"/>
        </w:rPr>
        <w:t xml:space="preserve"> </w:t>
      </w:r>
      <w:r>
        <w:t>maintain</w:t>
      </w:r>
      <w:r>
        <w:rPr>
          <w:spacing w:val="-4"/>
        </w:rPr>
        <w:t xml:space="preserve"> </w:t>
      </w:r>
      <w:r>
        <w:t>a</w:t>
      </w:r>
      <w:r>
        <w:rPr>
          <w:spacing w:val="-4"/>
        </w:rPr>
        <w:t xml:space="preserve"> </w:t>
      </w:r>
      <w:r>
        <w:t>steady</w:t>
      </w:r>
      <w:r>
        <w:rPr>
          <w:spacing w:val="-4"/>
        </w:rPr>
        <w:t xml:space="preserve"> </w:t>
      </w:r>
      <w:r>
        <w:t>biomass.</w:t>
      </w:r>
    </w:p>
    <w:p w:rsidR="00575E51" w:rsidRDefault="00575E51" w:rsidP="00575E51">
      <w:pPr>
        <w:pStyle w:val="BodyText"/>
        <w:spacing w:before="3"/>
        <w:rPr>
          <w:sz w:val="16"/>
        </w:rPr>
      </w:pPr>
    </w:p>
    <w:p w:rsidR="00575E51" w:rsidRDefault="00575E51" w:rsidP="00575E51">
      <w:pPr>
        <w:ind w:left="107"/>
        <w:jc w:val="both"/>
        <w:rPr>
          <w:rFonts w:ascii="Calibri"/>
          <w:sz w:val="16"/>
        </w:rPr>
      </w:pPr>
      <w:r>
        <w:rPr>
          <w:rFonts w:ascii="Calibri"/>
          <w:w w:val="115"/>
          <w:sz w:val="16"/>
        </w:rPr>
        <w:t>TABLE A7.4</w:t>
      </w:r>
    </w:p>
    <w:p w:rsidR="00575E51" w:rsidRDefault="00575E51" w:rsidP="00575E51">
      <w:pPr>
        <w:spacing w:before="15"/>
        <w:ind w:left="107"/>
        <w:jc w:val="both"/>
        <w:rPr>
          <w:rFonts w:ascii="Calibri" w:hAnsi="Calibri"/>
          <w:b/>
          <w:sz w:val="17"/>
        </w:rPr>
      </w:pPr>
      <w:r>
        <w:rPr>
          <w:rFonts w:ascii="Calibri" w:hAnsi="Calibri"/>
          <w:b/>
          <w:w w:val="115"/>
          <w:sz w:val="17"/>
        </w:rPr>
        <w:t>Annual cost–benefit analysis of a media bed unit</w:t>
      </w:r>
    </w:p>
    <w:p w:rsidR="00575E51" w:rsidRDefault="00575E51" w:rsidP="00575E51">
      <w:pPr>
        <w:pStyle w:val="BodyText"/>
        <w:spacing w:before="5"/>
        <w:rPr>
          <w:rFonts w:ascii="Calibri"/>
          <w:b/>
          <w:sz w:val="7"/>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09"/>
        <w:gridCol w:w="2691"/>
      </w:tblGrid>
      <w:tr w:rsidR="00575E51" w:rsidTr="00866D14">
        <w:trPr>
          <w:trHeight w:hRule="exact" w:val="424"/>
        </w:trPr>
        <w:tc>
          <w:tcPr>
            <w:tcW w:w="5009" w:type="dxa"/>
            <w:tcBorders>
              <w:left w:val="nil"/>
            </w:tcBorders>
            <w:shd w:val="clear" w:color="auto" w:fill="E3F3F3"/>
          </w:tcPr>
          <w:p w:rsidR="00575E51" w:rsidRDefault="00575E51" w:rsidP="00866D14">
            <w:pPr>
              <w:pStyle w:val="TableParagraph"/>
              <w:spacing w:before="6"/>
              <w:rPr>
                <w:b/>
                <w:sz w:val="10"/>
              </w:rPr>
            </w:pPr>
          </w:p>
          <w:p w:rsidR="00575E51" w:rsidRDefault="00575E51" w:rsidP="00866D14">
            <w:pPr>
              <w:pStyle w:val="TableParagraph"/>
              <w:spacing w:before="0"/>
              <w:ind w:left="96"/>
              <w:rPr>
                <w:b/>
                <w:sz w:val="14"/>
              </w:rPr>
            </w:pPr>
            <w:r>
              <w:rPr>
                <w:b/>
                <w:w w:val="110"/>
                <w:sz w:val="14"/>
              </w:rPr>
              <w:t>Total  costs per year</w:t>
            </w:r>
          </w:p>
        </w:tc>
        <w:tc>
          <w:tcPr>
            <w:tcW w:w="2691" w:type="dxa"/>
            <w:tcBorders>
              <w:right w:val="nil"/>
            </w:tcBorders>
            <w:shd w:val="clear" w:color="auto" w:fill="E3F3F3"/>
          </w:tcPr>
          <w:p w:rsidR="00575E51" w:rsidRDefault="00575E51" w:rsidP="00866D14">
            <w:pPr>
              <w:pStyle w:val="TableParagraph"/>
              <w:spacing w:before="54" w:line="160" w:lineRule="exact"/>
              <w:ind w:left="1156" w:right="563" w:hanging="269"/>
              <w:rPr>
                <w:b/>
                <w:sz w:val="14"/>
              </w:rPr>
            </w:pPr>
            <w:r>
              <w:rPr>
                <w:b/>
                <w:w w:val="110"/>
                <w:sz w:val="14"/>
              </w:rPr>
              <w:t>Total per year (USD)</w:t>
            </w:r>
          </w:p>
        </w:tc>
      </w:tr>
      <w:tr w:rsidR="00575E51" w:rsidTr="00866D14">
        <w:trPr>
          <w:trHeight w:hRule="exact" w:val="271"/>
        </w:trPr>
        <w:tc>
          <w:tcPr>
            <w:tcW w:w="5009" w:type="dxa"/>
            <w:tcBorders>
              <w:left w:val="nil"/>
            </w:tcBorders>
          </w:tcPr>
          <w:p w:rsidR="00575E51" w:rsidRDefault="00575E51" w:rsidP="00866D14">
            <w:pPr>
              <w:pStyle w:val="TableParagraph"/>
              <w:ind w:left="96"/>
              <w:rPr>
                <w:sz w:val="15"/>
              </w:rPr>
            </w:pPr>
            <w:r>
              <w:rPr>
                <w:w w:val="115"/>
                <w:sz w:val="15"/>
              </w:rPr>
              <w:t>Initial construction costs (Table A7.1)</w:t>
            </w:r>
          </w:p>
        </w:tc>
        <w:tc>
          <w:tcPr>
            <w:tcW w:w="2691" w:type="dxa"/>
            <w:tcBorders>
              <w:right w:val="nil"/>
            </w:tcBorders>
          </w:tcPr>
          <w:p w:rsidR="00575E51" w:rsidRDefault="00575E51" w:rsidP="00866D14">
            <w:pPr>
              <w:pStyle w:val="TableParagraph"/>
              <w:ind w:left="1094" w:right="1094"/>
              <w:jc w:val="center"/>
              <w:rPr>
                <w:sz w:val="15"/>
              </w:rPr>
            </w:pPr>
            <w:r>
              <w:rPr>
                <w:w w:val="110"/>
                <w:sz w:val="15"/>
              </w:rPr>
              <w:t>700.00</w:t>
            </w:r>
          </w:p>
        </w:tc>
      </w:tr>
      <w:tr w:rsidR="00575E51" w:rsidTr="00866D14">
        <w:trPr>
          <w:trHeight w:hRule="exact" w:val="271"/>
        </w:trPr>
        <w:tc>
          <w:tcPr>
            <w:tcW w:w="5009" w:type="dxa"/>
            <w:tcBorders>
              <w:left w:val="nil"/>
            </w:tcBorders>
          </w:tcPr>
          <w:p w:rsidR="00575E51" w:rsidRDefault="00575E51" w:rsidP="00866D14">
            <w:pPr>
              <w:pStyle w:val="TableParagraph"/>
              <w:ind w:left="96"/>
              <w:rPr>
                <w:sz w:val="15"/>
              </w:rPr>
            </w:pPr>
            <w:r>
              <w:rPr>
                <w:w w:val="115"/>
                <w:sz w:val="15"/>
              </w:rPr>
              <w:t>Yearly operating costs (Table A7.2)</w:t>
            </w:r>
          </w:p>
        </w:tc>
        <w:tc>
          <w:tcPr>
            <w:tcW w:w="2691" w:type="dxa"/>
            <w:tcBorders>
              <w:right w:val="nil"/>
            </w:tcBorders>
          </w:tcPr>
          <w:p w:rsidR="00575E51" w:rsidRDefault="00575E51" w:rsidP="00866D14">
            <w:pPr>
              <w:pStyle w:val="TableParagraph"/>
              <w:ind w:left="1094" w:right="1094"/>
              <w:jc w:val="center"/>
              <w:rPr>
                <w:sz w:val="15"/>
              </w:rPr>
            </w:pPr>
            <w:r>
              <w:rPr>
                <w:w w:val="110"/>
                <w:sz w:val="15"/>
              </w:rPr>
              <w:t>317.40</w:t>
            </w:r>
          </w:p>
        </w:tc>
      </w:tr>
      <w:tr w:rsidR="00575E51" w:rsidTr="00866D14">
        <w:trPr>
          <w:trHeight w:hRule="exact" w:val="271"/>
        </w:trPr>
        <w:tc>
          <w:tcPr>
            <w:tcW w:w="5009" w:type="dxa"/>
            <w:tcBorders>
              <w:left w:val="nil"/>
            </w:tcBorders>
          </w:tcPr>
          <w:p w:rsidR="00575E51" w:rsidRDefault="00575E51" w:rsidP="00866D14">
            <w:pPr>
              <w:pStyle w:val="TableParagraph"/>
              <w:ind w:left="96"/>
              <w:rPr>
                <w:sz w:val="15"/>
              </w:rPr>
            </w:pPr>
            <w:r>
              <w:rPr>
                <w:w w:val="115"/>
                <w:sz w:val="15"/>
              </w:rPr>
              <w:t>Yearly revenues (Table A7.3)</w:t>
            </w:r>
          </w:p>
        </w:tc>
        <w:tc>
          <w:tcPr>
            <w:tcW w:w="2691" w:type="dxa"/>
            <w:tcBorders>
              <w:right w:val="nil"/>
            </w:tcBorders>
          </w:tcPr>
          <w:p w:rsidR="00575E51" w:rsidRDefault="00575E51" w:rsidP="00866D14">
            <w:pPr>
              <w:pStyle w:val="TableParagraph"/>
              <w:ind w:left="1094" w:right="1094"/>
              <w:jc w:val="center"/>
              <w:rPr>
                <w:sz w:val="15"/>
              </w:rPr>
            </w:pPr>
            <w:r>
              <w:rPr>
                <w:w w:val="110"/>
                <w:sz w:val="15"/>
              </w:rPr>
              <w:t>758.40</w:t>
            </w:r>
          </w:p>
        </w:tc>
      </w:tr>
      <w:tr w:rsidR="00575E51" w:rsidTr="00866D14">
        <w:trPr>
          <w:trHeight w:hRule="exact" w:val="271"/>
        </w:trPr>
        <w:tc>
          <w:tcPr>
            <w:tcW w:w="5009" w:type="dxa"/>
            <w:tcBorders>
              <w:left w:val="nil"/>
            </w:tcBorders>
          </w:tcPr>
          <w:p w:rsidR="00575E51" w:rsidRDefault="00575E51" w:rsidP="00866D14">
            <w:pPr>
              <w:pStyle w:val="TableParagraph"/>
              <w:ind w:left="96"/>
              <w:rPr>
                <w:sz w:val="15"/>
              </w:rPr>
            </w:pPr>
            <w:r>
              <w:rPr>
                <w:w w:val="115"/>
                <w:sz w:val="15"/>
              </w:rPr>
              <w:t>Yearly net profit</w:t>
            </w:r>
          </w:p>
        </w:tc>
        <w:tc>
          <w:tcPr>
            <w:tcW w:w="2691" w:type="dxa"/>
            <w:tcBorders>
              <w:right w:val="nil"/>
            </w:tcBorders>
          </w:tcPr>
          <w:p w:rsidR="00575E51" w:rsidRDefault="00575E51" w:rsidP="00866D14">
            <w:pPr>
              <w:pStyle w:val="TableParagraph"/>
              <w:ind w:left="1094" w:right="1094"/>
              <w:jc w:val="center"/>
              <w:rPr>
                <w:sz w:val="15"/>
              </w:rPr>
            </w:pPr>
            <w:r>
              <w:rPr>
                <w:w w:val="110"/>
                <w:sz w:val="15"/>
              </w:rPr>
              <w:t>441.00</w:t>
            </w:r>
          </w:p>
        </w:tc>
      </w:tr>
      <w:tr w:rsidR="00575E51" w:rsidTr="00866D14">
        <w:trPr>
          <w:trHeight w:hRule="exact" w:val="271"/>
        </w:trPr>
        <w:tc>
          <w:tcPr>
            <w:tcW w:w="5009" w:type="dxa"/>
            <w:tcBorders>
              <w:left w:val="nil"/>
            </w:tcBorders>
          </w:tcPr>
          <w:p w:rsidR="00575E51" w:rsidRDefault="00575E51" w:rsidP="00866D14">
            <w:pPr>
              <w:pStyle w:val="TableParagraph"/>
              <w:ind w:left="96"/>
              <w:rPr>
                <w:sz w:val="15"/>
              </w:rPr>
            </w:pPr>
            <w:r>
              <w:rPr>
                <w:w w:val="115"/>
                <w:sz w:val="15"/>
              </w:rPr>
              <w:t>Payback of initial construction costs (months)</w:t>
            </w:r>
          </w:p>
        </w:tc>
        <w:tc>
          <w:tcPr>
            <w:tcW w:w="2691" w:type="dxa"/>
            <w:tcBorders>
              <w:right w:val="nil"/>
            </w:tcBorders>
          </w:tcPr>
          <w:p w:rsidR="00575E51" w:rsidRDefault="00575E51" w:rsidP="00866D14">
            <w:pPr>
              <w:pStyle w:val="TableParagraph"/>
              <w:ind w:left="1094" w:right="1094"/>
              <w:jc w:val="center"/>
              <w:rPr>
                <w:sz w:val="15"/>
              </w:rPr>
            </w:pPr>
            <w:r>
              <w:rPr>
                <w:w w:val="110"/>
                <w:sz w:val="15"/>
              </w:rPr>
              <w:t>19</w:t>
            </w:r>
          </w:p>
        </w:tc>
      </w:tr>
    </w:tbl>
    <w:p w:rsidR="00575E51" w:rsidRDefault="00575E51" w:rsidP="00575E51">
      <w:pPr>
        <w:pStyle w:val="BodyText"/>
        <w:spacing w:before="10"/>
        <w:rPr>
          <w:rFonts w:ascii="Calibri"/>
          <w:b/>
          <w:sz w:val="25"/>
        </w:rPr>
      </w:pPr>
    </w:p>
    <w:p w:rsidR="00575E51" w:rsidRDefault="00575E51" w:rsidP="00575E51">
      <w:pPr>
        <w:pStyle w:val="BodyText"/>
        <w:spacing w:before="64" w:line="254" w:lineRule="auto"/>
        <w:ind w:left="107" w:right="1185" w:firstLine="259"/>
        <w:jc w:val="both"/>
      </w:pPr>
      <w:r>
        <w:t>Taking</w:t>
      </w:r>
      <w:r>
        <w:rPr>
          <w:spacing w:val="-14"/>
        </w:rPr>
        <w:t xml:space="preserve"> </w:t>
      </w:r>
      <w:r>
        <w:t>the</w:t>
      </w:r>
      <w:r>
        <w:rPr>
          <w:spacing w:val="-14"/>
        </w:rPr>
        <w:t xml:space="preserve"> </w:t>
      </w:r>
      <w:r>
        <w:t>final</w:t>
      </w:r>
      <w:r>
        <w:rPr>
          <w:spacing w:val="-14"/>
        </w:rPr>
        <w:t xml:space="preserve"> </w:t>
      </w:r>
      <w:r>
        <w:t>figures</w:t>
      </w:r>
      <w:r>
        <w:rPr>
          <w:spacing w:val="-14"/>
        </w:rPr>
        <w:t xml:space="preserve"> </w:t>
      </w:r>
      <w:r>
        <w:t>from</w:t>
      </w:r>
      <w:r>
        <w:rPr>
          <w:spacing w:val="-14"/>
        </w:rPr>
        <w:t xml:space="preserve"> </w:t>
      </w:r>
      <w:r>
        <w:t>yearly</w:t>
      </w:r>
      <w:r>
        <w:rPr>
          <w:spacing w:val="-14"/>
        </w:rPr>
        <w:t xml:space="preserve"> </w:t>
      </w:r>
      <w:r>
        <w:t>operating</w:t>
      </w:r>
      <w:r>
        <w:rPr>
          <w:spacing w:val="-14"/>
        </w:rPr>
        <w:t xml:space="preserve"> </w:t>
      </w:r>
      <w:r>
        <w:t>costs</w:t>
      </w:r>
      <w:r>
        <w:rPr>
          <w:spacing w:val="-14"/>
        </w:rPr>
        <w:t xml:space="preserve"> </w:t>
      </w:r>
      <w:r>
        <w:t>and</w:t>
      </w:r>
      <w:r>
        <w:rPr>
          <w:spacing w:val="-14"/>
        </w:rPr>
        <w:t xml:space="preserve"> </w:t>
      </w:r>
      <w:r>
        <w:t>yearly</w:t>
      </w:r>
      <w:r>
        <w:rPr>
          <w:spacing w:val="-14"/>
        </w:rPr>
        <w:t xml:space="preserve"> </w:t>
      </w:r>
      <w:r>
        <w:t>revenues</w:t>
      </w:r>
      <w:r>
        <w:rPr>
          <w:spacing w:val="-14"/>
        </w:rPr>
        <w:t xml:space="preserve"> </w:t>
      </w:r>
      <w:r>
        <w:t>(Tables</w:t>
      </w:r>
      <w:r>
        <w:rPr>
          <w:spacing w:val="-14"/>
        </w:rPr>
        <w:t xml:space="preserve"> </w:t>
      </w:r>
      <w:r>
        <w:t>A7.2 and A7.3), the total profit is USD441 (Table A7.4). This suggests that in general, once   a unit is set up, USD1.38 net profit is earned for every USD1 invested in growing food using a small-scale aquaponics unit for domestic consumption. The payback period</w:t>
      </w:r>
      <w:r>
        <w:rPr>
          <w:spacing w:val="-18"/>
        </w:rPr>
        <w:t xml:space="preserve"> </w:t>
      </w:r>
      <w:r>
        <w:t>for the initial investment is 19</w:t>
      </w:r>
      <w:r>
        <w:rPr>
          <w:spacing w:val="-20"/>
        </w:rPr>
        <w:t xml:space="preserve"> </w:t>
      </w:r>
      <w:r>
        <w:t>months.</w:t>
      </w:r>
    </w:p>
    <w:p w:rsidR="00575E51" w:rsidRDefault="00575E51" w:rsidP="00575E51">
      <w:pPr>
        <w:pStyle w:val="BodyText"/>
        <w:spacing w:line="254" w:lineRule="auto"/>
        <w:ind w:left="107" w:right="1179" w:firstLine="259"/>
        <w:jc w:val="both"/>
      </w:pPr>
      <w:r>
        <w:t>Reducing  the  capital  costs   (e.g.   using   recycled   tanks)   or   running   costs   (e.g. supplementing fish feed), or increasing the revenue (e.g. specialty markets), will considerably decrease the payback</w:t>
      </w:r>
      <w:r>
        <w:rPr>
          <w:spacing w:val="-26"/>
        </w:rPr>
        <w:t xml:space="preserve"> </w:t>
      </w:r>
      <w:r>
        <w:t>period.</w:t>
      </w:r>
      <w:bookmarkStart w:id="0" w:name="_GoBack"/>
      <w:bookmarkEnd w:id="0"/>
    </w:p>
    <w:sectPr w:rsidR="00575E51" w:rsidSect="0026527E">
      <w:pgSz w:w="11910" w:h="16840"/>
      <w:pgMar w:top="1020" w:right="1420" w:bottom="280" w:left="1480" w:header="793" w:footer="0" w:gutter="0"/>
      <w:pgNumType w:start="2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2E" w:rsidRDefault="008E0B2E" w:rsidP="00575E51">
      <w:r>
        <w:separator/>
      </w:r>
    </w:p>
  </w:endnote>
  <w:endnote w:type="continuationSeparator" w:id="0">
    <w:p w:rsidR="008E0B2E" w:rsidRDefault="008E0B2E" w:rsidP="0057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2E" w:rsidRDefault="008E0B2E" w:rsidP="00575E51">
      <w:r>
        <w:separator/>
      </w:r>
    </w:p>
  </w:footnote>
  <w:footnote w:type="continuationSeparator" w:id="0">
    <w:p w:rsidR="008E0B2E" w:rsidRDefault="008E0B2E" w:rsidP="0057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575E51">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988060</wp:posOffset>
              </wp:positionH>
              <wp:positionV relativeFrom="page">
                <wp:posOffset>652145</wp:posOffset>
              </wp:positionV>
              <wp:extent cx="5561965" cy="0"/>
              <wp:effectExtent l="6985" t="13970" r="1270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6350">
                        <a:solidFill>
                          <a:srgbClr val="0092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5FFEA"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51.35pt" to="515.7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" strokecolor="#00928f" strokeweight=".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966470</wp:posOffset>
              </wp:positionH>
              <wp:positionV relativeFrom="page">
                <wp:posOffset>497840</wp:posOffset>
              </wp:positionV>
              <wp:extent cx="194945" cy="127000"/>
              <wp:effectExtent l="4445" t="2540" r="63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127BF3">
                          <w:pPr>
                            <w:spacing w:line="189" w:lineRule="exact"/>
                            <w:ind w:left="20" w:right="-1"/>
                            <w:rPr>
                              <w:rFonts w:ascii="Calibri"/>
                              <w:b/>
                              <w:sz w:val="16"/>
                            </w:rPr>
                          </w:pPr>
                          <w:r>
                            <w:rPr>
                              <w:rFonts w:ascii="Calibri"/>
                              <w:b/>
                              <w:w w:val="110"/>
                              <w:sz w:val="16"/>
                            </w:rPr>
                            <w:t>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6.1pt;margin-top:39.2pt;width:15.3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8brgIAAKg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" filled="f" stroked="f">
              <v:textbox inset="0,0,0,0">
                <w:txbxContent>
                  <w:p w:rsidR="00B04EBC" w:rsidRDefault="00127BF3">
                    <w:pPr>
                      <w:spacing w:line="189" w:lineRule="exact"/>
                      <w:ind w:left="20" w:right="-1"/>
                      <w:rPr>
                        <w:rFonts w:ascii="Calibri"/>
                        <w:b/>
                        <w:sz w:val="16"/>
                      </w:rPr>
                    </w:pPr>
                    <w:r>
                      <w:rPr>
                        <w:rFonts w:ascii="Calibri"/>
                        <w:b/>
                        <w:w w:val="110"/>
                        <w:sz w:val="16"/>
                      </w:rPr>
                      <w:t>206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2922270</wp:posOffset>
              </wp:positionH>
              <wp:positionV relativeFrom="page">
                <wp:posOffset>490855</wp:posOffset>
              </wp:positionV>
              <wp:extent cx="3642995"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127BF3">
                          <w:pPr>
                            <w:spacing w:line="200" w:lineRule="exact"/>
                            <w:ind w:left="20"/>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30.1pt;margin-top:38.65pt;width:286.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hMsgIAALA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" filled="f" stroked="f">
              <v:textbox inset="0,0,0,0">
                <w:txbxContent>
                  <w:p w:rsidR="00B04EBC" w:rsidRDefault="00127BF3">
                    <w:pPr>
                      <w:spacing w:line="200" w:lineRule="exact"/>
                      <w:ind w:left="20"/>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farming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8E0B2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107B5"/>
    <w:multiLevelType w:val="hybridMultilevel"/>
    <w:tmpl w:val="D188CCC6"/>
    <w:lvl w:ilvl="0" w:tplc="80C2FF74">
      <w:start w:val="1"/>
      <w:numFmt w:val="bullet"/>
      <w:lvlText w:val="•"/>
      <w:lvlJc w:val="left"/>
      <w:pPr>
        <w:ind w:left="547" w:hanging="180"/>
      </w:pPr>
      <w:rPr>
        <w:rFonts w:ascii="Cambria" w:eastAsia="Cambria" w:hAnsi="Cambria" w:cs="Cambria" w:hint="default"/>
        <w:w w:val="112"/>
        <w:sz w:val="21"/>
        <w:szCs w:val="21"/>
      </w:rPr>
    </w:lvl>
    <w:lvl w:ilvl="1" w:tplc="A8763AD2">
      <w:start w:val="1"/>
      <w:numFmt w:val="bullet"/>
      <w:lvlText w:val="•"/>
      <w:lvlJc w:val="left"/>
      <w:pPr>
        <w:ind w:left="1386" w:hanging="180"/>
      </w:pPr>
      <w:rPr>
        <w:rFonts w:hint="default"/>
      </w:rPr>
    </w:lvl>
    <w:lvl w:ilvl="2" w:tplc="D916CB3A">
      <w:start w:val="1"/>
      <w:numFmt w:val="bullet"/>
      <w:lvlText w:val="•"/>
      <w:lvlJc w:val="left"/>
      <w:pPr>
        <w:ind w:left="2233" w:hanging="180"/>
      </w:pPr>
      <w:rPr>
        <w:rFonts w:hint="default"/>
      </w:rPr>
    </w:lvl>
    <w:lvl w:ilvl="3" w:tplc="2CBECB00">
      <w:start w:val="1"/>
      <w:numFmt w:val="bullet"/>
      <w:lvlText w:val="•"/>
      <w:lvlJc w:val="left"/>
      <w:pPr>
        <w:ind w:left="3079" w:hanging="180"/>
      </w:pPr>
      <w:rPr>
        <w:rFonts w:hint="default"/>
      </w:rPr>
    </w:lvl>
    <w:lvl w:ilvl="4" w:tplc="3856B77E">
      <w:start w:val="1"/>
      <w:numFmt w:val="bullet"/>
      <w:lvlText w:val="•"/>
      <w:lvlJc w:val="left"/>
      <w:pPr>
        <w:ind w:left="3926" w:hanging="180"/>
      </w:pPr>
      <w:rPr>
        <w:rFonts w:hint="default"/>
      </w:rPr>
    </w:lvl>
    <w:lvl w:ilvl="5" w:tplc="E8B88B48">
      <w:start w:val="1"/>
      <w:numFmt w:val="bullet"/>
      <w:lvlText w:val="•"/>
      <w:lvlJc w:val="left"/>
      <w:pPr>
        <w:ind w:left="4772" w:hanging="180"/>
      </w:pPr>
      <w:rPr>
        <w:rFonts w:hint="default"/>
      </w:rPr>
    </w:lvl>
    <w:lvl w:ilvl="6" w:tplc="E8AEF1A2">
      <w:start w:val="1"/>
      <w:numFmt w:val="bullet"/>
      <w:lvlText w:val="•"/>
      <w:lvlJc w:val="left"/>
      <w:pPr>
        <w:ind w:left="5619" w:hanging="180"/>
      </w:pPr>
      <w:rPr>
        <w:rFonts w:hint="default"/>
      </w:rPr>
    </w:lvl>
    <w:lvl w:ilvl="7" w:tplc="72B02D00">
      <w:start w:val="1"/>
      <w:numFmt w:val="bullet"/>
      <w:lvlText w:val="•"/>
      <w:lvlJc w:val="left"/>
      <w:pPr>
        <w:ind w:left="6465" w:hanging="180"/>
      </w:pPr>
      <w:rPr>
        <w:rFonts w:hint="default"/>
      </w:rPr>
    </w:lvl>
    <w:lvl w:ilvl="8" w:tplc="D4CAEE1C">
      <w:start w:val="1"/>
      <w:numFmt w:val="bullet"/>
      <w:lvlText w:val="•"/>
      <w:lvlJc w:val="left"/>
      <w:pPr>
        <w:ind w:left="7312"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51"/>
    <w:rsid w:val="00127BF3"/>
    <w:rsid w:val="0026527E"/>
    <w:rsid w:val="00575E51"/>
    <w:rsid w:val="00683BC0"/>
    <w:rsid w:val="00805BB1"/>
    <w:rsid w:val="008E0B2E"/>
    <w:rsid w:val="0099155B"/>
    <w:rsid w:val="00E5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4C74A5-B130-4A9F-BC48-16F28D86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575E51"/>
    <w:pPr>
      <w:widowControl w:val="0"/>
      <w:spacing w:after="0" w:line="240" w:lineRule="auto"/>
    </w:pPr>
    <w:rPr>
      <w:rFonts w:ascii="Cambria" w:eastAsia="Cambria" w:hAnsi="Cambria" w:cs="Cambria"/>
    </w:rPr>
  </w:style>
  <w:style w:type="paragraph" w:styleId="Heading1">
    <w:name w:val="heading 1"/>
    <w:basedOn w:val="Normal"/>
    <w:link w:val="Heading1Char"/>
    <w:uiPriority w:val="1"/>
    <w:qFormat/>
    <w:rsid w:val="00575E51"/>
    <w:pPr>
      <w:spacing w:before="155"/>
      <w:ind w:left="360"/>
      <w:outlineLvl w:val="0"/>
    </w:pPr>
    <w:rPr>
      <w:rFonts w:ascii="Calibri" w:eastAsia="Calibri" w:hAnsi="Calibri" w:cs="Calibri"/>
      <w:b/>
      <w:bCs/>
      <w:sz w:val="46"/>
      <w:szCs w:val="46"/>
    </w:rPr>
  </w:style>
  <w:style w:type="paragraph" w:styleId="Heading2">
    <w:name w:val="heading 2"/>
    <w:basedOn w:val="Normal"/>
    <w:link w:val="Heading2Char"/>
    <w:uiPriority w:val="1"/>
    <w:qFormat/>
    <w:rsid w:val="00575E51"/>
    <w:pPr>
      <w:ind w:left="827" w:hanging="720"/>
      <w:jc w:val="both"/>
      <w:outlineLvl w:val="1"/>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E51"/>
    <w:rPr>
      <w:rFonts w:ascii="Calibri" w:eastAsia="Calibri" w:hAnsi="Calibri" w:cs="Calibri"/>
      <w:b/>
      <w:bCs/>
      <w:sz w:val="46"/>
      <w:szCs w:val="46"/>
    </w:rPr>
  </w:style>
  <w:style w:type="character" w:customStyle="1" w:styleId="Heading2Char">
    <w:name w:val="Heading 2 Char"/>
    <w:basedOn w:val="DefaultParagraphFont"/>
    <w:link w:val="Heading2"/>
    <w:uiPriority w:val="1"/>
    <w:rsid w:val="00575E51"/>
    <w:rPr>
      <w:rFonts w:ascii="Calibri" w:eastAsia="Calibri" w:hAnsi="Calibri" w:cs="Calibri"/>
      <w:b/>
      <w:bCs/>
      <w:sz w:val="21"/>
      <w:szCs w:val="21"/>
    </w:rPr>
  </w:style>
  <w:style w:type="paragraph" w:styleId="BodyText">
    <w:name w:val="Body Text"/>
    <w:basedOn w:val="Normal"/>
    <w:link w:val="BodyTextChar"/>
    <w:uiPriority w:val="1"/>
    <w:qFormat/>
    <w:rsid w:val="00575E51"/>
    <w:rPr>
      <w:sz w:val="21"/>
      <w:szCs w:val="21"/>
    </w:rPr>
  </w:style>
  <w:style w:type="character" w:customStyle="1" w:styleId="BodyTextChar">
    <w:name w:val="Body Text Char"/>
    <w:basedOn w:val="DefaultParagraphFont"/>
    <w:link w:val="BodyText"/>
    <w:uiPriority w:val="1"/>
    <w:rsid w:val="00575E51"/>
    <w:rPr>
      <w:rFonts w:ascii="Cambria" w:eastAsia="Cambria" w:hAnsi="Cambria" w:cs="Cambria"/>
      <w:sz w:val="21"/>
      <w:szCs w:val="21"/>
    </w:rPr>
  </w:style>
  <w:style w:type="paragraph" w:styleId="ListParagraph">
    <w:name w:val="List Paragraph"/>
    <w:basedOn w:val="Normal"/>
    <w:uiPriority w:val="1"/>
    <w:qFormat/>
    <w:rsid w:val="00575E51"/>
    <w:pPr>
      <w:ind w:left="827" w:hanging="180"/>
    </w:pPr>
  </w:style>
  <w:style w:type="paragraph" w:customStyle="1" w:styleId="TableParagraph">
    <w:name w:val="Table Paragraph"/>
    <w:basedOn w:val="Normal"/>
    <w:uiPriority w:val="1"/>
    <w:qFormat/>
    <w:rsid w:val="00575E51"/>
    <w:pPr>
      <w:spacing w:before="46"/>
    </w:pPr>
    <w:rPr>
      <w:rFonts w:ascii="Calibri" w:eastAsia="Calibri" w:hAnsi="Calibri" w:cs="Calibri"/>
    </w:rPr>
  </w:style>
  <w:style w:type="paragraph" w:styleId="Footer">
    <w:name w:val="footer"/>
    <w:basedOn w:val="Normal"/>
    <w:link w:val="FooterChar"/>
    <w:uiPriority w:val="99"/>
    <w:unhideWhenUsed/>
    <w:rsid w:val="00575E51"/>
    <w:pPr>
      <w:tabs>
        <w:tab w:val="center" w:pos="4680"/>
        <w:tab w:val="right" w:pos="9360"/>
      </w:tabs>
    </w:pPr>
  </w:style>
  <w:style w:type="character" w:customStyle="1" w:styleId="FooterChar">
    <w:name w:val="Footer Char"/>
    <w:basedOn w:val="DefaultParagraphFont"/>
    <w:link w:val="Footer"/>
    <w:uiPriority w:val="99"/>
    <w:rsid w:val="00575E51"/>
    <w:rPr>
      <w:rFonts w:ascii="Cambria" w:eastAsia="Cambria" w:hAnsi="Cambria" w:cs="Cambria"/>
    </w:rPr>
  </w:style>
  <w:style w:type="paragraph" w:styleId="Header">
    <w:name w:val="header"/>
    <w:basedOn w:val="Normal"/>
    <w:link w:val="HeaderChar"/>
    <w:uiPriority w:val="99"/>
    <w:unhideWhenUsed/>
    <w:rsid w:val="00575E51"/>
    <w:pPr>
      <w:tabs>
        <w:tab w:val="center" w:pos="4680"/>
        <w:tab w:val="right" w:pos="9360"/>
      </w:tabs>
    </w:pPr>
  </w:style>
  <w:style w:type="character" w:customStyle="1" w:styleId="HeaderChar">
    <w:name w:val="Header Char"/>
    <w:basedOn w:val="DefaultParagraphFont"/>
    <w:link w:val="Header"/>
    <w:uiPriority w:val="99"/>
    <w:rsid w:val="00575E5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reasons</dc:creator>
  <cp:keywords/>
  <dc:description/>
  <cp:lastModifiedBy>phil reasons</cp:lastModifiedBy>
  <cp:revision>2</cp:revision>
  <dcterms:created xsi:type="dcterms:W3CDTF">2017-04-05T21:07:00Z</dcterms:created>
  <dcterms:modified xsi:type="dcterms:W3CDTF">2017-04-08T17:53:00Z</dcterms:modified>
</cp:coreProperties>
</file>